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480" w:lineRule="auto"/>
        <w:jc w:val="both"/>
        <w:rPr>
          <w:rFonts w:ascii="Times New Roman" w:hAnsi="Times New Roman" w:eastAsia="仿宋"/>
          <w:b/>
          <w:color w:val="000000"/>
          <w:sz w:val="30"/>
          <w:szCs w:val="30"/>
        </w:rPr>
      </w:pPr>
      <w:r>
        <w:rPr>
          <w:rFonts w:ascii="Times New Roman" w:hAnsi="Times New Roman" w:eastAsia="仿宋"/>
          <w:b/>
          <w:color w:val="000000"/>
          <w:sz w:val="30"/>
          <w:szCs w:val="30"/>
        </w:rPr>
        <w:t>附件2：</w:t>
      </w:r>
    </w:p>
    <w:p>
      <w:pPr>
        <w:pStyle w:val="2"/>
        <w:widowControl/>
        <w:spacing w:line="840" w:lineRule="exact"/>
        <w:jc w:val="center"/>
        <w:rPr>
          <w:rFonts w:ascii="Times New Roman" w:hAnsi="Times New Roman" w:eastAsia="方正小标宋简体"/>
          <w:b/>
          <w:color w:val="000000"/>
          <w:sz w:val="36"/>
          <w:szCs w:val="36"/>
        </w:rPr>
      </w:pPr>
      <w:r>
        <w:rPr>
          <w:rFonts w:ascii="Times New Roman" w:hAnsi="Times New Roman" w:eastAsia="方正小标宋简体"/>
          <w:b/>
          <w:color w:val="000000"/>
          <w:sz w:val="36"/>
          <w:szCs w:val="36"/>
        </w:rPr>
        <w:t>许昌陶瓷职业学院</w:t>
      </w:r>
    </w:p>
    <w:p>
      <w:pPr>
        <w:pStyle w:val="2"/>
        <w:widowControl/>
        <w:spacing w:line="840" w:lineRule="exact"/>
        <w:jc w:val="center"/>
        <w:rPr>
          <w:rFonts w:ascii="Times New Roman" w:hAnsi="Times New Roman" w:eastAsia="方正小标宋简体"/>
          <w:sz w:val="36"/>
          <w:szCs w:val="36"/>
        </w:rPr>
      </w:pPr>
      <w:r>
        <w:rPr>
          <w:rFonts w:ascii="Times New Roman" w:hAnsi="Times New Roman" w:eastAsia="方正小标宋简体"/>
          <w:b/>
          <w:color w:val="000000"/>
          <w:sz w:val="36"/>
          <w:szCs w:val="36"/>
        </w:rPr>
        <w:t>高等职业教育项目研究课题指南</w:t>
      </w:r>
    </w:p>
    <w:p>
      <w:pPr>
        <w:pStyle w:val="2"/>
        <w:widowControl/>
        <w:spacing w:line="560" w:lineRule="exact"/>
        <w:ind w:firstLine="420"/>
        <w:jc w:val="both"/>
        <w:rPr>
          <w:rFonts w:ascii="Times New Roman" w:hAnsi="Times New Roman" w:eastAsia="仿宋"/>
          <w:color w:val="000000"/>
          <w:sz w:val="30"/>
          <w:szCs w:val="30"/>
        </w:rPr>
      </w:pPr>
    </w:p>
    <w:p>
      <w:pPr>
        <w:pStyle w:val="2"/>
        <w:widowControl/>
        <w:spacing w:line="560" w:lineRule="exact"/>
        <w:ind w:firstLine="420"/>
        <w:jc w:val="both"/>
        <w:rPr>
          <w:rFonts w:ascii="Times New Roman" w:hAnsi="Times New Roman" w:eastAsia="仿宋"/>
          <w:color w:val="000000"/>
          <w:sz w:val="30"/>
          <w:szCs w:val="30"/>
        </w:rPr>
      </w:pPr>
      <w:r>
        <w:rPr>
          <w:rFonts w:hint="eastAsia" w:ascii="Times New Roman" w:hAnsi="Times New Roman" w:eastAsia="仿宋"/>
          <w:color w:val="000000"/>
          <w:sz w:val="30"/>
          <w:szCs w:val="30"/>
        </w:rPr>
        <w:t>1、</w:t>
      </w:r>
      <w:r>
        <w:rPr>
          <w:rFonts w:ascii="Times New Roman" w:hAnsi="Times New Roman" w:eastAsia="仿宋"/>
          <w:color w:val="000000"/>
          <w:sz w:val="30"/>
          <w:szCs w:val="30"/>
        </w:rPr>
        <w:t>对接产业的专业群建设模式探索与实践，战略性新兴产业人才校企合作培养研究与实践。</w:t>
      </w:r>
    </w:p>
    <w:p>
      <w:pPr>
        <w:pStyle w:val="2"/>
        <w:widowControl/>
        <w:spacing w:line="560" w:lineRule="exact"/>
        <w:ind w:firstLine="420"/>
        <w:jc w:val="both"/>
        <w:rPr>
          <w:rFonts w:ascii="Times New Roman" w:hAnsi="Times New Roman" w:eastAsia="仿宋"/>
          <w:sz w:val="30"/>
          <w:szCs w:val="30"/>
        </w:rPr>
      </w:pPr>
      <w:r>
        <w:rPr>
          <w:rFonts w:ascii="Times New Roman" w:hAnsi="Times New Roman" w:eastAsia="仿宋"/>
          <w:color w:val="000000"/>
          <w:sz w:val="30"/>
          <w:szCs w:val="30"/>
        </w:rPr>
        <w:t>2、学校教师队伍建设管理机制、拔尖人才行动计划、骨干教师队伍建设、青年教师队伍培育、兼职教师队伍建设、专业教学团队建设和创新创业导师团队建设等领域关键问题的研究与实践。</w:t>
      </w:r>
    </w:p>
    <w:p>
      <w:pPr>
        <w:pStyle w:val="2"/>
        <w:widowControl/>
        <w:spacing w:line="560" w:lineRule="exact"/>
        <w:ind w:firstLine="420"/>
        <w:jc w:val="both"/>
        <w:rPr>
          <w:rFonts w:ascii="Times New Roman" w:hAnsi="Times New Roman" w:eastAsia="仿宋"/>
          <w:sz w:val="30"/>
          <w:szCs w:val="30"/>
        </w:rPr>
      </w:pPr>
      <w:r>
        <w:rPr>
          <w:rFonts w:ascii="Times New Roman" w:hAnsi="Times New Roman" w:eastAsia="仿宋"/>
          <w:color w:val="000000"/>
          <w:sz w:val="30"/>
          <w:szCs w:val="30"/>
        </w:rPr>
        <w:t>3、学校治理结构、运行机制和关键领域改革等领域核心问题的研究与实践。</w:t>
      </w:r>
    </w:p>
    <w:p>
      <w:pPr>
        <w:pStyle w:val="2"/>
        <w:widowControl/>
        <w:spacing w:line="560" w:lineRule="exact"/>
        <w:ind w:firstLine="420"/>
        <w:jc w:val="both"/>
        <w:rPr>
          <w:rFonts w:ascii="Times New Roman" w:hAnsi="Times New Roman" w:eastAsia="仿宋"/>
          <w:sz w:val="30"/>
          <w:szCs w:val="30"/>
        </w:rPr>
      </w:pPr>
      <w:r>
        <w:rPr>
          <w:rFonts w:ascii="Times New Roman" w:hAnsi="Times New Roman" w:eastAsia="仿宋"/>
          <w:color w:val="000000"/>
          <w:sz w:val="30"/>
          <w:szCs w:val="30"/>
        </w:rPr>
        <w:t>4、工学结合、现代学徒制、工匠精神、创新创业教育、学院内部质量保证体系诊断与改进等热点问题的研究与实践</w:t>
      </w:r>
    </w:p>
    <w:p>
      <w:pPr>
        <w:pStyle w:val="2"/>
        <w:widowControl/>
        <w:spacing w:line="560" w:lineRule="exact"/>
        <w:ind w:firstLine="420"/>
        <w:jc w:val="both"/>
        <w:rPr>
          <w:rFonts w:ascii="Times New Roman" w:hAnsi="Times New Roman" w:eastAsia="仿宋"/>
          <w:sz w:val="30"/>
          <w:szCs w:val="30"/>
        </w:rPr>
      </w:pPr>
      <w:r>
        <w:rPr>
          <w:rFonts w:ascii="Times New Roman" w:hAnsi="Times New Roman" w:eastAsia="仿宋"/>
          <w:color w:val="000000"/>
          <w:sz w:val="30"/>
          <w:szCs w:val="30"/>
        </w:rPr>
        <w:t>5、学校内部管理体制、人事分配制度、师资结构调整改革的研究与实践；“利益互融、校企一体”校企合作体制机制建设的研究与实践。</w:t>
      </w:r>
    </w:p>
    <w:p>
      <w:pPr>
        <w:pStyle w:val="2"/>
        <w:widowControl/>
        <w:spacing w:line="560" w:lineRule="exact"/>
        <w:ind w:firstLine="420"/>
        <w:jc w:val="both"/>
        <w:rPr>
          <w:rFonts w:ascii="Times New Roman" w:hAnsi="Times New Roman" w:eastAsia="仿宋"/>
          <w:sz w:val="30"/>
          <w:szCs w:val="30"/>
        </w:rPr>
      </w:pPr>
      <w:r>
        <w:rPr>
          <w:rFonts w:ascii="Times New Roman" w:hAnsi="Times New Roman" w:eastAsia="仿宋"/>
          <w:color w:val="000000"/>
          <w:sz w:val="30"/>
          <w:szCs w:val="30"/>
        </w:rPr>
        <w:t>6、其他职业教育研究。</w:t>
      </w:r>
    </w:p>
    <w:p>
      <w:pPr>
        <w:rPr>
          <w:rFonts w:ascii="Times New Roman" w:hAnsi="Times New Roma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340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2019-11-25T11:13:40Z</dcterms:created>
  <dc:creator>10342</dc:creator>
  <cp:lastModifiedBy>李响</cp:lastModifiedBy>
  <dcterms:modified xsi:type="dcterms:W3CDTF">2019-11-25T11:14:03Z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