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4AC80">
      <w:pPr>
        <w:rPr>
          <w:rFonts w:ascii="宋体" w:hAnsi="宋体"/>
          <w:b/>
          <w:sz w:val="28"/>
          <w:szCs w:val="28"/>
        </w:rPr>
      </w:pPr>
    </w:p>
    <w:p w14:paraId="4F9DE0D2">
      <w:pPr>
        <w:rPr>
          <w:rFonts w:ascii="宋体" w:hAnsi="宋体"/>
          <w:b/>
          <w:sz w:val="28"/>
          <w:szCs w:val="28"/>
        </w:rPr>
      </w:pPr>
    </w:p>
    <w:p w14:paraId="36486A01">
      <w:pPr>
        <w:jc w:val="center"/>
        <w:rPr>
          <w:rFonts w:ascii="宋体" w:hAnsi="宋体"/>
          <w:b/>
          <w:sz w:val="48"/>
          <w:szCs w:val="48"/>
        </w:rPr>
      </w:pPr>
      <w:r>
        <w:rPr>
          <w:rFonts w:hint="eastAsia" w:ascii="宋体" w:hAnsi="宋体"/>
          <w:b/>
          <w:sz w:val="48"/>
          <w:szCs w:val="48"/>
        </w:rPr>
        <w:t>许昌陶瓷职业学院</w:t>
      </w:r>
    </w:p>
    <w:p w14:paraId="14A4E294">
      <w:pPr>
        <w:jc w:val="center"/>
        <w:rPr>
          <w:rFonts w:ascii="宋体" w:hAnsi="宋体"/>
          <w:b/>
          <w:sz w:val="48"/>
          <w:szCs w:val="48"/>
        </w:rPr>
      </w:pPr>
    </w:p>
    <w:p w14:paraId="09183632">
      <w:pPr>
        <w:jc w:val="center"/>
        <w:rPr>
          <w:rFonts w:ascii="宋体" w:hAnsi="宋体"/>
          <w:b/>
          <w:color w:val="FF0000"/>
          <w:sz w:val="24"/>
        </w:rPr>
      </w:pPr>
      <w:r>
        <w:rPr>
          <w:rFonts w:hint="eastAsia" w:ascii="宋体" w:hAnsi="宋体"/>
          <w:b/>
          <w:sz w:val="48"/>
          <w:szCs w:val="48"/>
        </w:rPr>
        <w:t>学前教育专业人才培养方案</w:t>
      </w:r>
    </w:p>
    <w:p w14:paraId="38C2BE27">
      <w:pPr>
        <w:jc w:val="center"/>
        <w:rPr>
          <w:rFonts w:ascii="宋体" w:hAnsi="宋体"/>
          <w:b/>
          <w:color w:val="FF0000"/>
          <w:sz w:val="24"/>
        </w:rPr>
      </w:pPr>
    </w:p>
    <w:p w14:paraId="6878EF4B">
      <w:pPr>
        <w:jc w:val="center"/>
        <w:rPr>
          <w:rFonts w:ascii="宋体" w:hAnsi="宋体"/>
          <w:b/>
          <w:sz w:val="44"/>
          <w:szCs w:val="44"/>
        </w:rPr>
      </w:pPr>
    </w:p>
    <w:p w14:paraId="473FC8BA">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教 学 院 部：</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智慧康养与人文教育学院 </w:t>
      </w:r>
      <w:r>
        <w:rPr>
          <w:rFonts w:hint="eastAsia" w:ascii="方正小标宋简体" w:hAnsi="方正小标宋简体" w:eastAsia="方正小标宋简体" w:cs="方正小标宋简体"/>
          <w:sz w:val="32"/>
          <w:szCs w:val="32"/>
          <w:u w:val="single"/>
          <w:lang w:val="en-US" w:eastAsia="zh-CN"/>
        </w:rPr>
        <w:t xml:space="preserve">    </w:t>
      </w:r>
    </w:p>
    <w:p w14:paraId="10E67834">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执  笔  人：</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 轩萌萌          </w:t>
      </w:r>
      <w:r>
        <w:rPr>
          <w:rFonts w:hint="eastAsia" w:ascii="方正小标宋简体" w:hAnsi="方正小标宋简体" w:eastAsia="方正小标宋简体" w:cs="方正小标宋简体"/>
          <w:sz w:val="32"/>
          <w:szCs w:val="32"/>
          <w:u w:val="single"/>
          <w:lang w:val="en-US" w:eastAsia="zh-CN"/>
        </w:rPr>
        <w:t xml:space="preserve">   </w:t>
      </w:r>
    </w:p>
    <w:p w14:paraId="112FD1C1">
      <w:pPr>
        <w:adjustRightInd w:val="0"/>
        <w:snapToGrid w:val="0"/>
        <w:spacing w:before="312" w:beforeLines="100" w:after="156" w:afterLines="50"/>
        <w:ind w:firstLine="1280" w:firstLineChars="400"/>
        <w:outlineLvl w:val="0"/>
        <w:rPr>
          <w:rFonts w:hint="eastAsia"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编 制 团 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刘杰 靳艺丹 黄向丽 丁嘉宁 张梦雨</w:t>
      </w:r>
    </w:p>
    <w:p w14:paraId="0BF99CDF">
      <w:pPr>
        <w:adjustRightInd w:val="0"/>
        <w:snapToGrid w:val="0"/>
        <w:spacing w:before="312" w:beforeLines="100" w:after="156" w:afterLines="50"/>
        <w:ind w:firstLine="3200" w:firstLineChars="1000"/>
        <w:outlineLvl w:val="0"/>
        <w:rPr>
          <w:rFonts w:hint="default" w:ascii="方正小标宋简体" w:hAnsi="方正小标宋简体" w:eastAsia="方正小标宋简体" w:cs="方正小标宋简体"/>
          <w:sz w:val="32"/>
          <w:szCs w:val="32"/>
          <w:u w:val="single"/>
          <w:lang w:val="en-US"/>
        </w:rPr>
      </w:pPr>
      <w:r>
        <w:rPr>
          <w:rFonts w:hint="eastAsia" w:ascii="方正小标宋简体" w:hAnsi="方正小标宋简体" w:eastAsia="方正小标宋简体" w:cs="方正小标宋简体"/>
          <w:sz w:val="32"/>
          <w:szCs w:val="32"/>
          <w:u w:val="single"/>
          <w:lang w:val="en-US" w:eastAsia="zh-CN"/>
        </w:rPr>
        <w:t xml:space="preserve"> 张程皓</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曾煦原                    </w:t>
      </w:r>
    </w:p>
    <w:p w14:paraId="19758C1E">
      <w:pPr>
        <w:adjustRightInd w:val="0"/>
        <w:snapToGrid w:val="0"/>
        <w:spacing w:before="312" w:beforeLines="100" w:after="156" w:afterLines="50"/>
        <w:ind w:left="3517" w:leftChars="608" w:hanging="2240" w:hangingChars="70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许昌市</w:t>
      </w:r>
      <w:r>
        <w:rPr>
          <w:rFonts w:hint="eastAsia" w:ascii="方正小标宋简体" w:hAnsi="方正小标宋简体" w:eastAsia="方正小标宋简体" w:cs="方正小标宋简体"/>
          <w:sz w:val="32"/>
          <w:szCs w:val="32"/>
          <w:u w:val="single"/>
          <w:lang w:val="en-US" w:eastAsia="zh-CN"/>
        </w:rPr>
        <w:t>人民</w:t>
      </w:r>
      <w:r>
        <w:rPr>
          <w:rFonts w:hint="eastAsia" w:ascii="方正小标宋简体" w:hAnsi="方正小标宋简体" w:eastAsia="方正小标宋简体" w:cs="方正小标宋简体"/>
          <w:sz w:val="32"/>
          <w:szCs w:val="32"/>
          <w:u w:val="single"/>
        </w:rPr>
        <w:t>政府机关幼儿园</w:t>
      </w:r>
      <w:r>
        <w:rPr>
          <w:rFonts w:hint="eastAsia" w:ascii="方正小标宋简体" w:hAnsi="方正小标宋简体" w:eastAsia="方正小标宋简体" w:cs="方正小标宋简体"/>
          <w:sz w:val="32"/>
          <w:szCs w:val="32"/>
          <w:u w:val="single"/>
          <w:lang w:val="en-US" w:eastAsia="zh-CN"/>
        </w:rPr>
        <w:t xml:space="preserve">    </w:t>
      </w:r>
    </w:p>
    <w:p w14:paraId="162E070A">
      <w:pPr>
        <w:adjustRightInd w:val="0"/>
        <w:snapToGrid w:val="0"/>
        <w:spacing w:before="312" w:beforeLines="100" w:after="156" w:afterLines="50"/>
        <w:ind w:left="3511" w:leftChars="1672" w:firstLine="0" w:firstLineChars="0"/>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许昌市文化街幼儿园</w:t>
      </w:r>
      <w:r>
        <w:rPr>
          <w:rFonts w:hint="eastAsia" w:ascii="方正小标宋简体" w:hAnsi="方正小标宋简体" w:eastAsia="方正小标宋简体" w:cs="方正小标宋简体"/>
          <w:sz w:val="32"/>
          <w:szCs w:val="32"/>
          <w:u w:val="single"/>
          <w:lang w:val="en-US" w:eastAsia="zh-CN"/>
        </w:rPr>
        <w:t xml:space="preserve">       </w:t>
      </w:r>
    </w:p>
    <w:p w14:paraId="68E305FA">
      <w:pPr>
        <w:adjustRightInd w:val="0"/>
        <w:snapToGrid w:val="0"/>
        <w:spacing w:before="312" w:beforeLines="100" w:after="156" w:afterLines="50"/>
        <w:ind w:left="3511" w:leftChars="1672" w:firstLine="0" w:firstLineChars="0"/>
        <w:outlineLvl w:val="0"/>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许昌市</w:t>
      </w:r>
      <w:r>
        <w:rPr>
          <w:rFonts w:hint="eastAsia" w:ascii="方正小标宋简体" w:hAnsi="方正小标宋简体" w:eastAsia="方正小标宋简体" w:cs="方正小标宋简体"/>
          <w:sz w:val="32"/>
          <w:szCs w:val="32"/>
          <w:u w:val="single"/>
          <w:lang w:val="en-US" w:eastAsia="zh-CN"/>
        </w:rPr>
        <w:t>魏都区爱汀堡</w:t>
      </w:r>
      <w:r>
        <w:rPr>
          <w:rFonts w:hint="eastAsia" w:ascii="方正小标宋简体" w:hAnsi="方正小标宋简体" w:eastAsia="方正小标宋简体" w:cs="方正小标宋简体"/>
          <w:sz w:val="32"/>
          <w:szCs w:val="32"/>
          <w:u w:val="single"/>
        </w:rPr>
        <w:t>幼儿园</w:t>
      </w:r>
      <w:r>
        <w:rPr>
          <w:rFonts w:hint="eastAsia" w:ascii="方正小标宋简体" w:hAnsi="方正小标宋简体" w:eastAsia="方正小标宋简体" w:cs="方正小标宋简体"/>
          <w:sz w:val="32"/>
          <w:szCs w:val="32"/>
          <w:u w:val="single"/>
          <w:lang w:val="en-US" w:eastAsia="zh-CN"/>
        </w:rPr>
        <w:t xml:space="preserve">    </w:t>
      </w:r>
    </w:p>
    <w:p w14:paraId="51276A77">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刘娜</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朱文娟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刘洋洋</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p>
    <w:p w14:paraId="216E9EBF">
      <w:pPr>
        <w:adjustRightInd w:val="0"/>
        <w:snapToGrid w:val="0"/>
        <w:spacing w:before="312" w:beforeLines="100" w:after="156" w:afterLines="50"/>
        <w:ind w:firstLine="1280" w:firstLineChars="400"/>
        <w:outlineLvl w:val="0"/>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编 制 日 期：</w:t>
      </w:r>
      <w:r>
        <w:rPr>
          <w:rFonts w:hint="eastAsia" w:ascii="方正小标宋简体" w:hAnsi="方正小标宋简体" w:eastAsia="方正小标宋简体" w:cs="方正小标宋简体"/>
          <w:sz w:val="32"/>
          <w:szCs w:val="32"/>
          <w:u w:val="single"/>
        </w:rPr>
        <w:t xml:space="preserve">       </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 xml:space="preserve">2025年6月       </w:t>
      </w:r>
      <w:r>
        <w:rPr>
          <w:rFonts w:hint="eastAsia" w:ascii="方正小标宋简体" w:hAnsi="方正小标宋简体" w:eastAsia="方正小标宋简体" w:cs="方正小标宋简体"/>
          <w:sz w:val="32"/>
          <w:szCs w:val="32"/>
          <w:u w:val="single"/>
          <w:lang w:val="en-US" w:eastAsia="zh-CN"/>
        </w:rPr>
        <w:t xml:space="preserve">    </w:t>
      </w:r>
    </w:p>
    <w:p w14:paraId="1A28D1E1">
      <w:pPr>
        <w:spacing w:before="312" w:beforeLines="100" w:after="156" w:afterLines="50" w:line="360" w:lineRule="auto"/>
        <w:rPr>
          <w:sz w:val="32"/>
          <w:szCs w:val="32"/>
        </w:rPr>
      </w:pPr>
    </w:p>
    <w:p w14:paraId="75C9A1A6">
      <w:pPr>
        <w:adjustRightInd w:val="0"/>
        <w:snapToGrid w:val="0"/>
        <w:spacing w:before="156" w:beforeLines="50" w:line="360" w:lineRule="auto"/>
        <w:jc w:val="center"/>
        <w:outlineLvl w:val="0"/>
        <w:rPr>
          <w:b/>
          <w:bCs/>
          <w:sz w:val="32"/>
          <w:szCs w:val="32"/>
        </w:rPr>
      </w:pPr>
      <w:bookmarkStart w:id="0" w:name="_Toc30766"/>
      <w:bookmarkStart w:id="1" w:name="_Toc12733"/>
      <w:bookmarkStart w:id="2" w:name="_Toc4414"/>
      <w:r>
        <w:rPr>
          <w:rFonts w:hint="eastAsia"/>
          <w:b/>
          <w:bCs/>
          <w:sz w:val="32"/>
          <w:szCs w:val="32"/>
        </w:rPr>
        <w:t>教务处编</w:t>
      </w:r>
      <w:bookmarkEnd w:id="0"/>
      <w:bookmarkEnd w:id="1"/>
      <w:bookmarkEnd w:id="2"/>
    </w:p>
    <w:p w14:paraId="346573DE">
      <w:pPr>
        <w:spacing w:before="312" w:beforeLines="100" w:after="156" w:afterLines="50" w:line="360" w:lineRule="auto"/>
        <w:jc w:val="center"/>
        <w:outlineLvl w:val="0"/>
        <w:rPr>
          <w:b/>
          <w:bCs/>
          <w:sz w:val="32"/>
          <w:szCs w:val="32"/>
        </w:rPr>
      </w:pPr>
      <w:bookmarkStart w:id="3" w:name="_Toc5144"/>
      <w:bookmarkStart w:id="4" w:name="_Toc10876"/>
      <w:r>
        <w:rPr>
          <w:rFonts w:hint="eastAsia"/>
          <w:b/>
          <w:bCs/>
          <w:sz w:val="32"/>
          <w:szCs w:val="32"/>
        </w:rPr>
        <w:t>二〇二五年六月</w:t>
      </w:r>
      <w:bookmarkEnd w:id="3"/>
      <w:bookmarkEnd w:id="4"/>
    </w:p>
    <w:p w14:paraId="2A691B27">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7C1B6D23">
      <w:pPr>
        <w:jc w:val="center"/>
        <w:rPr>
          <w:rFonts w:ascii="宋体" w:hAnsi="宋体" w:cs="宋体"/>
          <w:b/>
          <w:sz w:val="44"/>
          <w:szCs w:val="44"/>
        </w:rPr>
      </w:pPr>
      <w:r>
        <w:rPr>
          <w:rFonts w:hint="eastAsia" w:ascii="宋体" w:hAnsi="宋体" w:cs="宋体"/>
          <w:b/>
          <w:sz w:val="44"/>
          <w:szCs w:val="44"/>
        </w:rPr>
        <w:t>许昌陶瓷职业学院</w:t>
      </w:r>
    </w:p>
    <w:p w14:paraId="6B5D6097">
      <w:pPr>
        <w:jc w:val="center"/>
        <w:rPr>
          <w:rFonts w:ascii="宋体" w:hAnsi="宋体" w:cs="宋体"/>
          <w:b/>
          <w:sz w:val="44"/>
          <w:szCs w:val="44"/>
        </w:rPr>
      </w:pPr>
      <w:r>
        <w:rPr>
          <w:rFonts w:hint="eastAsia" w:ascii="宋体" w:hAnsi="宋体" w:cs="宋体"/>
          <w:b/>
          <w:sz w:val="44"/>
          <w:szCs w:val="44"/>
        </w:rPr>
        <w:t>2025级学前教育专业人才培养方案</w:t>
      </w:r>
    </w:p>
    <w:p w14:paraId="25BFE69A">
      <w:pPr>
        <w:pStyle w:val="3"/>
        <w:pageBreakBefore w:val="0"/>
        <w:kinsoku/>
        <w:wordWrap/>
        <w:overflowPunct/>
        <w:topLinePunct w:val="0"/>
        <w:bidi w:val="0"/>
        <w:spacing w:before="0" w:beforeLines="0" w:after="0" w:afterLines="0" w:line="360" w:lineRule="exact"/>
        <w:ind w:firstLine="482"/>
        <w:rPr>
          <w:rFonts w:ascii="Times New Roman" w:hAnsi="Times New Roman"/>
          <w:kern w:val="2"/>
          <w:sz w:val="24"/>
          <w:szCs w:val="24"/>
        </w:rPr>
      </w:pPr>
      <w:bookmarkStart w:id="5" w:name="_Toc31560"/>
      <w:bookmarkStart w:id="6" w:name="_Toc26091"/>
      <w:bookmarkStart w:id="7" w:name="_Toc20535"/>
      <w:bookmarkStart w:id="8" w:name="_Toc364078377"/>
    </w:p>
    <w:p w14:paraId="35691BD9">
      <w:pPr>
        <w:pStyle w:val="3"/>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一、专业名称及专业代码</w:t>
      </w:r>
      <w:bookmarkEnd w:id="5"/>
      <w:bookmarkEnd w:id="6"/>
      <w:bookmarkEnd w:id="7"/>
    </w:p>
    <w:p w14:paraId="4E664CA6">
      <w:pPr>
        <w:pageBreakBefore w:val="0"/>
        <w:kinsoku/>
        <w:wordWrap/>
        <w:overflowPunct/>
        <w:topLinePunct w:val="0"/>
        <w:bidi w:val="0"/>
        <w:spacing w:line="360" w:lineRule="exact"/>
        <w:ind w:firstLine="420" w:firstLineChars="200"/>
        <w:rPr>
          <w:rFonts w:ascii="宋体" w:hAnsi="宋体" w:cs="宋体"/>
        </w:rPr>
      </w:pPr>
      <w:bookmarkStart w:id="9" w:name="_Toc2265"/>
      <w:bookmarkStart w:id="10" w:name="_Toc15758"/>
      <w:bookmarkStart w:id="11" w:name="_Toc18827"/>
      <w:r>
        <w:rPr>
          <w:rFonts w:hint="eastAsia" w:ascii="宋体" w:hAnsi="宋体" w:cs="宋体"/>
        </w:rPr>
        <w:t>专业名称：</w:t>
      </w:r>
      <w:r>
        <w:rPr>
          <w:rFonts w:hint="eastAsia" w:ascii="宋体" w:hAnsi="宋体" w:cs="宋体"/>
          <w:bCs/>
        </w:rPr>
        <w:t>学前教育</w:t>
      </w:r>
    </w:p>
    <w:p w14:paraId="4D172C02">
      <w:pPr>
        <w:pageBreakBefore w:val="0"/>
        <w:widowControl/>
        <w:kinsoku/>
        <w:wordWrap/>
        <w:overflowPunct/>
        <w:topLinePunct w:val="0"/>
        <w:bidi w:val="0"/>
        <w:spacing w:line="360" w:lineRule="exact"/>
        <w:ind w:firstLine="420" w:firstLineChars="200"/>
        <w:jc w:val="left"/>
        <w:rPr>
          <w:rFonts w:ascii="宋体" w:hAnsi="宋体" w:cs="宋体"/>
          <w:color w:val="0000FF"/>
        </w:rPr>
      </w:pPr>
      <w:r>
        <w:rPr>
          <w:rFonts w:hint="eastAsia" w:ascii="宋体" w:hAnsi="宋体" w:cs="宋体"/>
        </w:rPr>
        <w:t>专业代码：</w:t>
      </w:r>
      <w:r>
        <w:rPr>
          <w:rFonts w:hint="eastAsia" w:asciiTheme="minorEastAsia" w:hAnsiTheme="minorEastAsia" w:eastAsiaTheme="minorEastAsia" w:cstheme="minorEastAsia"/>
          <w:bCs/>
        </w:rPr>
        <w:t>570102K</w:t>
      </w:r>
    </w:p>
    <w:p w14:paraId="3CE02665">
      <w:pPr>
        <w:pStyle w:val="3"/>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二、入学要求</w:t>
      </w:r>
      <w:bookmarkEnd w:id="9"/>
      <w:bookmarkEnd w:id="10"/>
      <w:bookmarkEnd w:id="11"/>
    </w:p>
    <w:bookmarkEnd w:id="8"/>
    <w:p w14:paraId="5E52E08E">
      <w:pPr>
        <w:pageBreakBefore w:val="0"/>
        <w:widowControl/>
        <w:kinsoku/>
        <w:wordWrap/>
        <w:overflowPunct/>
        <w:topLinePunct w:val="0"/>
        <w:bidi w:val="0"/>
        <w:spacing w:line="360" w:lineRule="exact"/>
        <w:ind w:firstLine="420" w:firstLineChars="200"/>
        <w:jc w:val="left"/>
        <w:rPr>
          <w:rFonts w:ascii="宋体" w:hAnsi="宋体" w:cs="宋体"/>
          <w:szCs w:val="21"/>
        </w:rPr>
      </w:pPr>
      <w:r>
        <w:rPr>
          <w:rFonts w:hint="eastAsia" w:ascii="宋体" w:hAnsi="宋体" w:cs="宋体"/>
          <w:szCs w:val="21"/>
        </w:rPr>
        <w:t>中等职业学校毕业、普通高级中学毕业或具备同等学力</w:t>
      </w:r>
    </w:p>
    <w:p w14:paraId="657A8A1C">
      <w:pPr>
        <w:pStyle w:val="3"/>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bookmarkStart w:id="12" w:name="_Toc21516"/>
      <w:bookmarkStart w:id="13" w:name="_Toc20700"/>
      <w:bookmarkStart w:id="14" w:name="_Toc17378"/>
      <w:r>
        <w:rPr>
          <w:rFonts w:ascii="Times New Roman" w:hAnsi="Times New Roman"/>
          <w:kern w:val="2"/>
          <w:sz w:val="24"/>
          <w:szCs w:val="24"/>
        </w:rPr>
        <w:t>三、修业年限</w:t>
      </w:r>
      <w:bookmarkEnd w:id="12"/>
      <w:bookmarkEnd w:id="13"/>
      <w:bookmarkEnd w:id="14"/>
    </w:p>
    <w:p w14:paraId="4F184540">
      <w:pPr>
        <w:pageBreakBefore w:val="0"/>
        <w:widowControl/>
        <w:kinsoku/>
        <w:wordWrap/>
        <w:overflowPunct/>
        <w:topLinePunct w:val="0"/>
        <w:bidi w:val="0"/>
        <w:spacing w:line="360" w:lineRule="exact"/>
        <w:ind w:firstLine="420" w:firstLineChars="200"/>
        <w:jc w:val="left"/>
        <w:rPr>
          <w:rFonts w:ascii="Arial" w:hAnsi="Arial"/>
          <w:bCs/>
          <w:color w:val="000000"/>
          <w:szCs w:val="21"/>
        </w:rPr>
      </w:pPr>
      <w:r>
        <w:rPr>
          <w:rFonts w:hint="eastAsia" w:ascii="Arial" w:hAnsi="Arial"/>
          <w:bCs/>
          <w:color w:val="000000"/>
          <w:szCs w:val="21"/>
        </w:rPr>
        <w:t>三年</w:t>
      </w:r>
    </w:p>
    <w:p w14:paraId="44AC25FF">
      <w:pPr>
        <w:pStyle w:val="3"/>
        <w:pageBreakBefore w:val="0"/>
        <w:kinsoku/>
        <w:wordWrap/>
        <w:overflowPunct/>
        <w:topLinePunct w:val="0"/>
        <w:bidi w:val="0"/>
        <w:spacing w:before="0" w:beforeLines="0" w:after="0" w:afterLines="0" w:line="360" w:lineRule="exact"/>
        <w:ind w:firstLine="482"/>
        <w:rPr>
          <w:rFonts w:hint="default" w:cs="宋体"/>
          <w:color w:val="000000"/>
        </w:rPr>
      </w:pPr>
      <w:bookmarkStart w:id="15" w:name="_Toc623"/>
      <w:bookmarkStart w:id="16" w:name="_Toc9441"/>
      <w:bookmarkStart w:id="17" w:name="_Toc3032"/>
      <w:r>
        <w:rPr>
          <w:rFonts w:ascii="Times New Roman" w:hAnsi="Times New Roman"/>
          <w:kern w:val="2"/>
          <w:sz w:val="24"/>
          <w:szCs w:val="24"/>
        </w:rPr>
        <w:t>四、职业面向</w:t>
      </w:r>
      <w:bookmarkEnd w:id="15"/>
      <w:bookmarkEnd w:id="16"/>
      <w:bookmarkEnd w:id="17"/>
    </w:p>
    <w:tbl>
      <w:tblPr>
        <w:tblStyle w:val="15"/>
        <w:tblW w:w="479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98"/>
        <w:gridCol w:w="6000"/>
      </w:tblGrid>
      <w:tr w14:paraId="3546B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628" w:type="pct"/>
            <w:tcBorders>
              <w:top w:val="single" w:color="auto" w:sz="4" w:space="0"/>
              <w:left w:val="single" w:color="auto" w:sz="4" w:space="0"/>
              <w:bottom w:val="single" w:color="auto" w:sz="4" w:space="0"/>
              <w:right w:val="single" w:color="auto" w:sz="4" w:space="0"/>
            </w:tcBorders>
            <w:vAlign w:val="center"/>
          </w:tcPr>
          <w:p w14:paraId="3599A5B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所属专业大类（代码）</w:t>
            </w:r>
          </w:p>
        </w:tc>
        <w:tc>
          <w:tcPr>
            <w:tcW w:w="3371" w:type="pct"/>
            <w:tcBorders>
              <w:top w:val="single" w:color="auto" w:sz="4" w:space="0"/>
              <w:left w:val="single" w:color="auto" w:sz="4" w:space="0"/>
              <w:bottom w:val="single" w:color="auto" w:sz="4" w:space="0"/>
              <w:right w:val="single" w:color="auto" w:sz="4" w:space="0"/>
            </w:tcBorders>
            <w:vAlign w:val="center"/>
          </w:tcPr>
          <w:p w14:paraId="0DBB973F">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教育与体育大类（57）</w:t>
            </w:r>
          </w:p>
        </w:tc>
      </w:tr>
      <w:tr w14:paraId="03A67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628" w:type="pct"/>
            <w:tcBorders>
              <w:top w:val="single" w:color="auto" w:sz="4" w:space="0"/>
              <w:left w:val="single" w:color="auto" w:sz="4" w:space="0"/>
              <w:bottom w:val="single" w:color="auto" w:sz="4" w:space="0"/>
              <w:right w:val="single" w:color="auto" w:sz="4" w:space="0"/>
            </w:tcBorders>
            <w:vAlign w:val="center"/>
          </w:tcPr>
          <w:p w14:paraId="031BC38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所属专业类（代码）</w:t>
            </w:r>
          </w:p>
        </w:tc>
        <w:tc>
          <w:tcPr>
            <w:tcW w:w="3371" w:type="pct"/>
            <w:tcBorders>
              <w:top w:val="single" w:color="auto" w:sz="4" w:space="0"/>
              <w:left w:val="single" w:color="auto" w:sz="4" w:space="0"/>
              <w:bottom w:val="single" w:color="auto" w:sz="4" w:space="0"/>
              <w:right w:val="single" w:color="auto" w:sz="4" w:space="0"/>
            </w:tcBorders>
            <w:vAlign w:val="center"/>
          </w:tcPr>
          <w:p w14:paraId="7F92E5DE">
            <w:pPr>
              <w:pStyle w:val="6"/>
              <w:keepNext w:val="0"/>
              <w:keepLines w:val="0"/>
              <w:pageBreakBefore w:val="0"/>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教育类（5701）</w:t>
            </w:r>
          </w:p>
        </w:tc>
      </w:tr>
      <w:tr w14:paraId="60DA3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28" w:type="pct"/>
            <w:tcBorders>
              <w:top w:val="single" w:color="auto" w:sz="4" w:space="0"/>
              <w:left w:val="single" w:color="auto" w:sz="4" w:space="0"/>
              <w:bottom w:val="single" w:color="auto" w:sz="4" w:space="0"/>
              <w:right w:val="single" w:color="auto" w:sz="4" w:space="0"/>
            </w:tcBorders>
            <w:vAlign w:val="center"/>
          </w:tcPr>
          <w:p w14:paraId="5DF0FDD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对应行业（代码）</w:t>
            </w:r>
          </w:p>
        </w:tc>
        <w:tc>
          <w:tcPr>
            <w:tcW w:w="3371" w:type="pct"/>
            <w:tcBorders>
              <w:top w:val="single" w:color="auto" w:sz="4" w:space="0"/>
              <w:left w:val="single" w:color="auto" w:sz="4" w:space="0"/>
              <w:bottom w:val="single" w:color="auto" w:sz="4" w:space="0"/>
              <w:right w:val="single" w:color="auto" w:sz="4" w:space="0"/>
            </w:tcBorders>
            <w:vAlign w:val="center"/>
          </w:tcPr>
          <w:p w14:paraId="331F722A">
            <w:pPr>
              <w:pStyle w:val="6"/>
              <w:keepNext w:val="0"/>
              <w:keepLines w:val="0"/>
              <w:pageBreakBefore w:val="0"/>
              <w:kinsoku/>
              <w:wordWrap/>
              <w:overflowPunct/>
              <w:topLinePunct w:val="0"/>
              <w:bidi w:val="0"/>
              <w:spacing w:line="360" w:lineRule="exact"/>
              <w:jc w:val="left"/>
              <w:outlineLvl w:val="3"/>
              <w:rPr>
                <w:rFonts w:hint="default" w:ascii="宋体" w:hAnsi="宋体" w:eastAsia="宋体" w:cs="宋体"/>
                <w:b w:val="0"/>
                <w:bCs/>
                <w:color w:val="4874CB" w:themeColor="accent1"/>
                <w:sz w:val="18"/>
                <w:szCs w:val="18"/>
                <w:lang w:val="en-US" w:eastAsia="zh-CN"/>
                <w14:textFill>
                  <w14:solidFill>
                    <w14:schemeClr w14:val="accent1"/>
                  </w14:solidFill>
                </w14:textFill>
              </w:rPr>
            </w:pPr>
            <w:r>
              <w:rPr>
                <w:rFonts w:hint="eastAsia" w:ascii="宋体" w:hAnsi="宋体" w:cs="宋体"/>
                <w:b w:val="0"/>
                <w:bCs/>
                <w:color w:val="auto"/>
                <w:sz w:val="18"/>
                <w:szCs w:val="18"/>
              </w:rPr>
              <w:t>学前教育（8310）</w:t>
            </w:r>
          </w:p>
        </w:tc>
      </w:tr>
      <w:tr w14:paraId="555846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628" w:type="pct"/>
            <w:tcBorders>
              <w:top w:val="single" w:color="auto" w:sz="4" w:space="0"/>
              <w:left w:val="single" w:color="auto" w:sz="4" w:space="0"/>
              <w:bottom w:val="single" w:color="auto" w:sz="4" w:space="0"/>
              <w:right w:val="single" w:color="auto" w:sz="4" w:space="0"/>
            </w:tcBorders>
            <w:vAlign w:val="center"/>
          </w:tcPr>
          <w:p w14:paraId="53FE574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主要职业类别（代码）</w:t>
            </w:r>
          </w:p>
        </w:tc>
        <w:tc>
          <w:tcPr>
            <w:tcW w:w="3371" w:type="pct"/>
            <w:tcBorders>
              <w:top w:val="single" w:color="auto" w:sz="4" w:space="0"/>
              <w:left w:val="single" w:color="auto" w:sz="4" w:space="0"/>
              <w:bottom w:val="single" w:color="auto" w:sz="4" w:space="0"/>
              <w:right w:val="single" w:color="auto" w:sz="4" w:space="0"/>
            </w:tcBorders>
            <w:vAlign w:val="center"/>
          </w:tcPr>
          <w:p w14:paraId="67F45392">
            <w:pPr>
              <w:pageBreakBefore w:val="0"/>
              <w:kinsoku/>
              <w:wordWrap/>
              <w:overflowPunct/>
              <w:topLinePunct w:val="0"/>
              <w:bidi w:val="0"/>
              <w:spacing w:line="360" w:lineRule="exact"/>
              <w:jc w:val="left"/>
              <w:rPr>
                <w:rFonts w:ascii="宋体" w:hAnsi="宋体" w:cs="宋体"/>
                <w:bCs/>
                <w:color w:val="4874CB" w:themeColor="accent1"/>
                <w:sz w:val="18"/>
                <w:szCs w:val="18"/>
                <w14:textFill>
                  <w14:solidFill>
                    <w14:schemeClr w14:val="accent1"/>
                  </w14:solidFill>
                </w14:textFill>
              </w:rPr>
            </w:pPr>
            <w:r>
              <w:rPr>
                <w:rFonts w:ascii="宋体" w:hAnsi="宋体" w:cs="宋体"/>
                <w:color w:val="000000"/>
                <w:sz w:val="18"/>
                <w:szCs w:val="18"/>
              </w:rPr>
              <w:t>幼儿园教师</w:t>
            </w:r>
            <w:r>
              <w:rPr>
                <w:rFonts w:hint="eastAsia" w:ascii="宋体" w:hAnsi="宋体" w:cs="宋体"/>
                <w:bCs/>
                <w:sz w:val="18"/>
                <w:szCs w:val="18"/>
              </w:rPr>
              <w:t>（2-0</w:t>
            </w:r>
            <w:r>
              <w:rPr>
                <w:rFonts w:hint="eastAsia" w:ascii="宋体" w:hAnsi="宋体" w:cs="宋体"/>
                <w:bCs/>
                <w:sz w:val="18"/>
                <w:szCs w:val="18"/>
                <w:lang w:val="en-US" w:eastAsia="zh-CN"/>
              </w:rPr>
              <w:t>8</w:t>
            </w:r>
            <w:r>
              <w:rPr>
                <w:rFonts w:hint="eastAsia" w:ascii="宋体" w:hAnsi="宋体" w:cs="宋体"/>
                <w:bCs/>
                <w:sz w:val="18"/>
                <w:szCs w:val="18"/>
              </w:rPr>
              <w:t>-0</w:t>
            </w:r>
            <w:r>
              <w:rPr>
                <w:rFonts w:hint="eastAsia" w:ascii="宋体" w:hAnsi="宋体" w:cs="宋体"/>
                <w:bCs/>
                <w:sz w:val="18"/>
                <w:szCs w:val="18"/>
                <w:lang w:val="en-US" w:eastAsia="zh-CN"/>
              </w:rPr>
              <w:t>3</w:t>
            </w:r>
            <w:r>
              <w:rPr>
                <w:rFonts w:hint="eastAsia" w:ascii="宋体" w:hAnsi="宋体" w:cs="宋体"/>
                <w:bCs/>
                <w:sz w:val="18"/>
                <w:szCs w:val="18"/>
              </w:rPr>
              <w:t>-00）</w:t>
            </w:r>
          </w:p>
        </w:tc>
      </w:tr>
      <w:tr w14:paraId="233D1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1628" w:type="pct"/>
            <w:tcBorders>
              <w:top w:val="single" w:color="auto" w:sz="4" w:space="0"/>
              <w:left w:val="single" w:color="auto" w:sz="4" w:space="0"/>
              <w:bottom w:val="single" w:color="auto" w:sz="4" w:space="0"/>
              <w:right w:val="single" w:color="auto" w:sz="4" w:space="0"/>
            </w:tcBorders>
            <w:vAlign w:val="center"/>
          </w:tcPr>
          <w:p w14:paraId="38C81B3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主要岗位（群）或技术领域</w:t>
            </w:r>
          </w:p>
        </w:tc>
        <w:tc>
          <w:tcPr>
            <w:tcW w:w="3371" w:type="pct"/>
            <w:tcBorders>
              <w:top w:val="single" w:color="auto" w:sz="4" w:space="0"/>
              <w:left w:val="single" w:color="auto" w:sz="4" w:space="0"/>
              <w:bottom w:val="single" w:color="auto" w:sz="4" w:space="0"/>
              <w:right w:val="single" w:color="auto" w:sz="4" w:space="0"/>
            </w:tcBorders>
            <w:vAlign w:val="center"/>
          </w:tcPr>
          <w:p w14:paraId="578393CA">
            <w:pPr>
              <w:pStyle w:val="6"/>
              <w:keepNext w:val="0"/>
              <w:keepLines w:val="0"/>
              <w:pageBreakBefore w:val="0"/>
              <w:kinsoku/>
              <w:wordWrap/>
              <w:overflowPunct/>
              <w:topLinePunct w:val="0"/>
              <w:bidi w:val="0"/>
              <w:spacing w:line="360" w:lineRule="exact"/>
              <w:jc w:val="left"/>
              <w:outlineLvl w:val="3"/>
              <w:rPr>
                <w:rFonts w:ascii="宋体" w:hAnsi="宋体" w:cs="宋体"/>
                <w:b w:val="0"/>
                <w:bCs/>
                <w:color w:val="4874CB" w:themeColor="accent1"/>
                <w:sz w:val="18"/>
                <w:szCs w:val="18"/>
                <w14:textFill>
                  <w14:solidFill>
                    <w14:schemeClr w14:val="accent1"/>
                  </w14:solidFill>
                </w14:textFill>
              </w:rPr>
            </w:pPr>
            <w:r>
              <w:rPr>
                <w:rFonts w:hint="eastAsia" w:ascii="宋体" w:hAnsi="宋体" w:cs="宋体"/>
                <w:b w:val="0"/>
                <w:bCs/>
                <w:color w:val="auto"/>
                <w:sz w:val="18"/>
                <w:szCs w:val="18"/>
              </w:rPr>
              <w:t>幼儿园教师，保育员，早教托育教师，学前教育课程顾问</w:t>
            </w:r>
          </w:p>
        </w:tc>
      </w:tr>
      <w:tr w14:paraId="41739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1628" w:type="pct"/>
            <w:tcBorders>
              <w:top w:val="single" w:color="auto" w:sz="4" w:space="0"/>
              <w:left w:val="single" w:color="auto" w:sz="4" w:space="0"/>
              <w:bottom w:val="single" w:color="auto" w:sz="4" w:space="0"/>
              <w:right w:val="single" w:color="auto" w:sz="4" w:space="0"/>
            </w:tcBorders>
            <w:vAlign w:val="center"/>
          </w:tcPr>
          <w:p w14:paraId="589F531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职业类证书举例</w:t>
            </w:r>
          </w:p>
        </w:tc>
        <w:tc>
          <w:tcPr>
            <w:tcW w:w="3371" w:type="pct"/>
            <w:tcBorders>
              <w:top w:val="single" w:color="auto" w:sz="4" w:space="0"/>
              <w:left w:val="single" w:color="auto" w:sz="4" w:space="0"/>
              <w:bottom w:val="single" w:color="auto" w:sz="4" w:space="0"/>
              <w:right w:val="single" w:color="auto" w:sz="4" w:space="0"/>
            </w:tcBorders>
            <w:vAlign w:val="center"/>
          </w:tcPr>
          <w:p w14:paraId="358A5429">
            <w:pPr>
              <w:pStyle w:val="6"/>
              <w:pageBreakBefore w:val="0"/>
              <w:kinsoku/>
              <w:wordWrap/>
              <w:overflowPunct/>
              <w:topLinePunct w:val="0"/>
              <w:bidi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保育</w:t>
            </w:r>
            <w:r>
              <w:rPr>
                <w:rFonts w:hint="eastAsia" w:ascii="宋体" w:hAnsi="宋体" w:cs="宋体"/>
                <w:b w:val="0"/>
                <w:bCs/>
                <w:color w:val="auto"/>
                <w:sz w:val="18"/>
                <w:szCs w:val="18"/>
                <w:lang w:val="en-US" w:eastAsia="zh-CN"/>
              </w:rPr>
              <w:t>师</w:t>
            </w:r>
            <w:r>
              <w:rPr>
                <w:rFonts w:hint="eastAsia" w:ascii="宋体" w:hAnsi="宋体" w:cs="宋体"/>
                <w:b w:val="0"/>
                <w:bCs/>
                <w:color w:val="auto"/>
                <w:sz w:val="18"/>
                <w:szCs w:val="18"/>
              </w:rPr>
              <w:t>证书</w:t>
            </w:r>
          </w:p>
          <w:p w14:paraId="7C9B9CC3">
            <w:pPr>
              <w:pStyle w:val="6"/>
              <w:pageBreakBefore w:val="0"/>
              <w:kinsoku/>
              <w:wordWrap/>
              <w:overflowPunct/>
              <w:topLinePunct w:val="0"/>
              <w:bidi w:val="0"/>
              <w:spacing w:line="360" w:lineRule="exact"/>
              <w:jc w:val="left"/>
              <w:outlineLvl w:val="3"/>
              <w:rPr>
                <w:rFonts w:ascii="宋体" w:hAnsi="宋体" w:cs="宋体"/>
                <w:b w:val="0"/>
                <w:bCs/>
                <w:color w:val="auto"/>
                <w:sz w:val="18"/>
                <w:szCs w:val="18"/>
              </w:rPr>
            </w:pPr>
            <w:r>
              <w:rPr>
                <w:rFonts w:hint="eastAsia" w:ascii="宋体" w:hAnsi="宋体" w:cs="宋体"/>
                <w:b w:val="0"/>
                <w:bCs/>
                <w:color w:val="auto"/>
                <w:sz w:val="18"/>
                <w:szCs w:val="18"/>
              </w:rPr>
              <w:t>幼儿园教师资格证</w:t>
            </w:r>
          </w:p>
          <w:p w14:paraId="49FA46F9">
            <w:pPr>
              <w:pageBreakBefore w:val="0"/>
              <w:kinsoku/>
              <w:wordWrap/>
              <w:overflowPunct/>
              <w:topLinePunct w:val="0"/>
              <w:bidi w:val="0"/>
              <w:spacing w:line="360" w:lineRule="exact"/>
              <w:rPr>
                <w:rFonts w:hint="eastAsia" w:ascii="宋体" w:hAnsi="宋体" w:eastAsia="宋体" w:cs="宋体"/>
                <w:b w:val="0"/>
                <w:bCs/>
                <w:color w:val="4874CB" w:themeColor="accent1"/>
                <w:sz w:val="18"/>
                <w:szCs w:val="18"/>
                <w:lang w:val="en-US" w:eastAsia="zh-CN"/>
                <w14:textFill>
                  <w14:solidFill>
                    <w14:schemeClr w14:val="accent1"/>
                  </w14:solidFill>
                </w14:textFill>
              </w:rPr>
            </w:pPr>
            <w:r>
              <w:rPr>
                <w:rFonts w:hint="eastAsia" w:ascii="宋体" w:hAnsi="宋体" w:cs="宋体"/>
                <w:bCs/>
                <w:sz w:val="18"/>
                <w:szCs w:val="18"/>
              </w:rPr>
              <w:t>育婴师证书</w:t>
            </w:r>
            <w:r>
              <w:rPr>
                <w:rFonts w:hint="eastAsia" w:ascii="宋体" w:hAnsi="宋体" w:cs="宋体"/>
                <w:bCs/>
                <w:sz w:val="18"/>
                <w:szCs w:val="18"/>
                <w:lang w:val="en-US" w:eastAsia="zh-CN"/>
              </w:rPr>
              <w:t>等</w:t>
            </w:r>
          </w:p>
        </w:tc>
      </w:tr>
    </w:tbl>
    <w:p w14:paraId="4F3B53E2">
      <w:pPr>
        <w:pStyle w:val="3"/>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五、培养目标与培养规格</w:t>
      </w:r>
    </w:p>
    <w:p w14:paraId="3C7DFE68">
      <w:pPr>
        <w:pStyle w:val="4"/>
        <w:pageBreakBefore w:val="0"/>
        <w:kinsoku/>
        <w:wordWrap/>
        <w:overflowPunct/>
        <w:topLinePunct w:val="0"/>
        <w:bidi w:val="0"/>
        <w:adjustRightInd w:val="0"/>
        <w:snapToGrid w:val="0"/>
        <w:spacing w:before="0" w:beforeLines="0" w:after="0" w:afterLines="0" w:line="360" w:lineRule="exact"/>
        <w:ind w:firstLine="422" w:firstLineChars="200"/>
        <w:rPr>
          <w:rFonts w:ascii="宋体" w:hAnsi="宋体" w:cs="宋体"/>
          <w:sz w:val="21"/>
          <w:szCs w:val="21"/>
        </w:rPr>
      </w:pPr>
      <w:bookmarkStart w:id="18" w:name="_Toc8908"/>
      <w:bookmarkStart w:id="19" w:name="_Toc31884"/>
      <w:r>
        <w:rPr>
          <w:rFonts w:hint="eastAsia" w:ascii="宋体" w:hAnsi="宋体" w:cs="宋体"/>
          <w:sz w:val="21"/>
          <w:szCs w:val="21"/>
        </w:rPr>
        <w:t>（一）培养目标</w:t>
      </w:r>
      <w:bookmarkEnd w:id="18"/>
      <w:bookmarkEnd w:id="19"/>
    </w:p>
    <w:p w14:paraId="71DE6636">
      <w:pPr>
        <w:pStyle w:val="3"/>
        <w:pageBreakBefore w:val="0"/>
        <w:kinsoku/>
        <w:wordWrap/>
        <w:overflowPunct/>
        <w:topLinePunct w:val="0"/>
        <w:bidi w:val="0"/>
        <w:adjustRightInd/>
        <w:snapToGrid/>
        <w:spacing w:before="0" w:beforeLines="0" w:after="0" w:afterLines="0" w:line="360" w:lineRule="exact"/>
        <w:ind w:firstLine="420"/>
        <w:rPr>
          <w:rFonts w:hint="default" w:cs="宋体"/>
        </w:rPr>
      </w:pPr>
      <w:r>
        <w:rPr>
          <w:rFonts w:cs="宋体"/>
          <w:b w:val="0"/>
          <w:color w:val="000000"/>
          <w:sz w:val="21"/>
          <w:szCs w:val="21"/>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教育行业的幼儿</w:t>
      </w:r>
      <w:r>
        <w:rPr>
          <w:rFonts w:hint="eastAsia" w:cs="宋体"/>
          <w:b w:val="0"/>
          <w:color w:val="000000"/>
          <w:sz w:val="21"/>
          <w:szCs w:val="21"/>
          <w:lang w:val="en-US" w:eastAsia="zh-CN"/>
        </w:rPr>
        <w:t>园</w:t>
      </w:r>
      <w:r>
        <w:rPr>
          <w:rFonts w:cs="宋体"/>
          <w:b w:val="0"/>
          <w:color w:val="000000"/>
          <w:sz w:val="21"/>
          <w:szCs w:val="21"/>
        </w:rPr>
        <w:t>教师职业，能够从事学前教育等相关工作的高素质教育工作者。</w:t>
      </w:r>
    </w:p>
    <w:p w14:paraId="141DBAE8">
      <w:pPr>
        <w:pStyle w:val="4"/>
        <w:pageBreakBefore w:val="0"/>
        <w:numPr>
          <w:ilvl w:val="0"/>
          <w:numId w:val="1"/>
        </w:numPr>
        <w:kinsoku/>
        <w:wordWrap/>
        <w:overflowPunct/>
        <w:topLinePunct w:val="0"/>
        <w:bidi w:val="0"/>
        <w:adjustRightInd w:val="0"/>
        <w:snapToGrid w:val="0"/>
        <w:spacing w:before="0" w:beforeLines="0" w:after="0" w:afterLines="0" w:line="360" w:lineRule="exact"/>
        <w:ind w:firstLine="422" w:firstLineChars="200"/>
        <w:rPr>
          <w:rFonts w:hint="eastAsia" w:ascii="宋体" w:hAnsi="宋体" w:cs="宋体"/>
          <w:sz w:val="21"/>
          <w:szCs w:val="21"/>
        </w:rPr>
      </w:pPr>
      <w:bookmarkStart w:id="20" w:name="_Toc25925"/>
      <w:bookmarkStart w:id="21" w:name="_Toc7335"/>
      <w:r>
        <w:rPr>
          <w:rFonts w:hint="eastAsia" w:ascii="宋体" w:hAnsi="宋体" w:cs="宋体"/>
          <w:sz w:val="21"/>
          <w:szCs w:val="21"/>
        </w:rPr>
        <w:t>培养规格</w:t>
      </w:r>
      <w:bookmarkEnd w:id="20"/>
      <w:bookmarkEnd w:id="21"/>
    </w:p>
    <w:p w14:paraId="21F76345">
      <w:pPr>
        <w:pStyle w:val="3"/>
        <w:pageBreakBefore w:val="0"/>
        <w:kinsoku/>
        <w:wordWrap/>
        <w:overflowPunct/>
        <w:topLinePunct w:val="0"/>
        <w:bidi w:val="0"/>
        <w:adjustRightInd/>
        <w:snapToGrid/>
        <w:spacing w:before="0" w:beforeLines="0" w:after="0" w:afterLines="0" w:line="360" w:lineRule="exact"/>
        <w:ind w:firstLine="420"/>
        <w:rPr>
          <w:rFonts w:hint="eastAsia" w:cs="宋体"/>
          <w:b w:val="0"/>
          <w:color w:val="000000"/>
          <w:sz w:val="21"/>
          <w:szCs w:val="21"/>
          <w:lang w:val="en-US" w:eastAsia="zh-CN"/>
        </w:rPr>
      </w:pPr>
      <w:r>
        <w:rPr>
          <w:rFonts w:hint="eastAsia" w:cs="宋体"/>
          <w:b w:val="0"/>
          <w:color w:val="000000"/>
          <w:sz w:val="21"/>
          <w:szCs w:val="21"/>
          <w:lang w:val="en-US" w:eastAsia="zh-CN"/>
        </w:rPr>
        <w:t>本专业学生应在系统学习本专业知识并完成有关实习实训基础上，全面提升知识、能力、素质， 掌握并实际运用岗位（群）需要的专业核心技术技能，实现德智体美劳全面发展，总体上须达到以下要求：</w:t>
      </w:r>
    </w:p>
    <w:p w14:paraId="5D1D3594">
      <w:pPr>
        <w:pStyle w:val="3"/>
        <w:pageBreakBefore w:val="0"/>
        <w:kinsoku/>
        <w:wordWrap/>
        <w:overflowPunct/>
        <w:topLinePunct w:val="0"/>
        <w:bidi w:val="0"/>
        <w:adjustRightInd/>
        <w:snapToGrid/>
        <w:spacing w:before="0" w:beforeLines="0" w:after="0" w:afterLines="0" w:line="360" w:lineRule="exact"/>
        <w:ind w:firstLine="420"/>
        <w:rPr>
          <w:rFonts w:hint="default" w:cs="宋体"/>
          <w:b w:val="0"/>
          <w:color w:val="000000"/>
          <w:sz w:val="21"/>
          <w:szCs w:val="21"/>
          <w:lang w:val="en-US" w:eastAsia="zh-CN"/>
        </w:rPr>
      </w:pPr>
      <w:r>
        <w:rPr>
          <w:rFonts w:hint="eastAsia" w:cs="宋体"/>
          <w:b w:val="0"/>
          <w:color w:val="000000"/>
          <w:sz w:val="21"/>
          <w:szCs w:val="21"/>
          <w:lang w:val="en-US" w:eastAsia="zh-CN"/>
        </w:rPr>
        <w:t>（1）坚定拥护中国共产党领导和中国特色社会主义制度，以习近平新时代中国特色社会主义思想为指导，践行社会主义核心价值观，具有坚定的理想信念、深厚的爱国情感和中华民族自豪感；</w:t>
      </w:r>
    </w:p>
    <w:p w14:paraId="6D3E0486">
      <w:pPr>
        <w:pStyle w:val="3"/>
        <w:pageBreakBefore w:val="0"/>
        <w:kinsoku/>
        <w:wordWrap/>
        <w:overflowPunct/>
        <w:topLinePunct w:val="0"/>
        <w:bidi w:val="0"/>
        <w:adjustRightInd/>
        <w:snapToGrid/>
        <w:spacing w:before="0" w:beforeLines="0" w:after="0" w:afterLines="0" w:line="360" w:lineRule="exact"/>
        <w:ind w:firstLine="420"/>
        <w:rPr>
          <w:rFonts w:hint="default" w:cs="宋体"/>
          <w:b w:val="0"/>
          <w:color w:val="000000"/>
          <w:sz w:val="21"/>
          <w:szCs w:val="21"/>
          <w:lang w:val="en-US" w:eastAsia="zh-CN"/>
        </w:rPr>
      </w:pPr>
      <w:r>
        <w:rPr>
          <w:rFonts w:hint="eastAsia" w:cs="宋体"/>
          <w:b w:val="0"/>
          <w:color w:val="000000"/>
          <w:sz w:val="21"/>
          <w:szCs w:val="21"/>
          <w:lang w:val="en-US" w:eastAsia="zh-CN"/>
        </w:rPr>
        <w:t>（2）掌握与本专业对应职业活动相关的国家法律、行业规定，掌握环境保护、安全防护、质量管理等相关知识与技能，了解相关行业文化，具有爱岗敬业的职业精神，遵守职业道德准则和行为规范，具备社会责任感和担当精神；</w:t>
      </w:r>
    </w:p>
    <w:p w14:paraId="69ACF247">
      <w:pPr>
        <w:pStyle w:val="3"/>
        <w:pageBreakBefore w:val="0"/>
        <w:kinsoku/>
        <w:wordWrap/>
        <w:overflowPunct/>
        <w:topLinePunct w:val="0"/>
        <w:bidi w:val="0"/>
        <w:adjustRightInd/>
        <w:snapToGrid/>
        <w:spacing w:before="0" w:beforeLines="0" w:after="0" w:afterLines="0" w:line="360" w:lineRule="exact"/>
        <w:ind w:firstLine="420"/>
        <w:rPr>
          <w:rFonts w:hint="eastAsia" w:cs="宋体"/>
          <w:b w:val="0"/>
          <w:color w:val="000000"/>
          <w:sz w:val="21"/>
          <w:szCs w:val="21"/>
          <w:lang w:val="en-US" w:eastAsia="zh-CN"/>
        </w:rPr>
      </w:pPr>
      <w:r>
        <w:rPr>
          <w:rFonts w:hint="eastAsia" w:cs="宋体"/>
          <w:b w:val="0"/>
          <w:color w:val="000000"/>
          <w:sz w:val="21"/>
          <w:szCs w:val="21"/>
          <w:lang w:val="en-US" w:eastAsia="zh-CN"/>
        </w:rPr>
        <w:t>（3）掌握支撑本专业学习和可持续发展必备的大学英语、信息技术等文化基础知识，具有良好的人文素养与科学素养，具备职业生涯规划能力；</w:t>
      </w:r>
    </w:p>
    <w:p w14:paraId="6C02FFB9">
      <w:pPr>
        <w:pStyle w:val="3"/>
        <w:pageBreakBefore w:val="0"/>
        <w:kinsoku/>
        <w:wordWrap/>
        <w:overflowPunct/>
        <w:topLinePunct w:val="0"/>
        <w:bidi w:val="0"/>
        <w:adjustRightInd/>
        <w:snapToGrid/>
        <w:spacing w:before="0" w:beforeLines="0" w:after="0" w:afterLines="0" w:line="360" w:lineRule="exact"/>
        <w:ind w:firstLine="420"/>
        <w:rPr>
          <w:rFonts w:hint="default" w:cs="宋体"/>
          <w:b w:val="0"/>
          <w:color w:val="000000"/>
          <w:sz w:val="21"/>
          <w:szCs w:val="21"/>
          <w:lang w:val="en-US" w:eastAsia="zh-CN"/>
        </w:rPr>
      </w:pPr>
      <w:r>
        <w:rPr>
          <w:rFonts w:hint="eastAsia" w:cs="宋体"/>
          <w:b w:val="0"/>
          <w:color w:val="000000"/>
          <w:sz w:val="21"/>
          <w:szCs w:val="21"/>
          <w:lang w:val="en-US" w:eastAsia="zh-CN"/>
        </w:rPr>
        <w:t xml:space="preserve">（4）具有良好的语言表达能力、文字表达能力、沟通合作能力，具有较强的集体意识和团队合作意识，学习 </w:t>
      </w:r>
      <w:r>
        <w:rPr>
          <w:rFonts w:hint="default" w:cs="宋体"/>
          <w:b w:val="0"/>
          <w:color w:val="000000"/>
          <w:sz w:val="21"/>
          <w:szCs w:val="21"/>
          <w:lang w:val="en-US" w:eastAsia="zh-CN"/>
        </w:rPr>
        <w:t xml:space="preserve">1 </w:t>
      </w:r>
      <w:r>
        <w:rPr>
          <w:rFonts w:hint="eastAsia" w:cs="宋体"/>
          <w:b w:val="0"/>
          <w:color w:val="000000"/>
          <w:sz w:val="21"/>
          <w:szCs w:val="21"/>
          <w:lang w:val="en-US" w:eastAsia="zh-CN"/>
        </w:rPr>
        <w:t>门外语并结合本专业加以运用；</w:t>
      </w:r>
    </w:p>
    <w:p w14:paraId="64A4E9DB">
      <w:pPr>
        <w:pStyle w:val="3"/>
        <w:pageBreakBefore w:val="0"/>
        <w:kinsoku/>
        <w:wordWrap/>
        <w:overflowPunct/>
        <w:topLinePunct w:val="0"/>
        <w:bidi w:val="0"/>
        <w:adjustRightInd/>
        <w:snapToGrid/>
        <w:spacing w:before="0" w:beforeLines="0" w:after="0" w:afterLines="0" w:line="360" w:lineRule="exact"/>
        <w:ind w:firstLine="420"/>
        <w:rPr>
          <w:rFonts w:hint="default" w:cs="宋体"/>
          <w:b w:val="0"/>
          <w:color w:val="000000"/>
          <w:sz w:val="21"/>
          <w:szCs w:val="21"/>
          <w:lang w:val="en-US" w:eastAsia="zh-CN"/>
        </w:rPr>
      </w:pPr>
      <w:r>
        <w:rPr>
          <w:rFonts w:hint="eastAsia" w:cs="宋体"/>
          <w:b w:val="0"/>
          <w:color w:val="000000"/>
          <w:sz w:val="21"/>
          <w:szCs w:val="21"/>
          <w:lang w:val="en-US" w:eastAsia="zh-CN"/>
        </w:rPr>
        <w:t>（5）掌握幼儿身心发展、幼儿保育与教育方面的专业基础理论知识，具有组织和评价幼儿园一日活动的基本技能；</w:t>
      </w:r>
    </w:p>
    <w:p w14:paraId="4D75B380">
      <w:pPr>
        <w:pStyle w:val="3"/>
        <w:pageBreakBefore w:val="0"/>
        <w:kinsoku/>
        <w:wordWrap/>
        <w:overflowPunct/>
        <w:topLinePunct w:val="0"/>
        <w:bidi w:val="0"/>
        <w:adjustRightInd/>
        <w:snapToGrid/>
        <w:spacing w:before="0" w:beforeLines="0" w:after="0" w:afterLines="0" w:line="360" w:lineRule="exact"/>
        <w:ind w:firstLine="420"/>
        <w:rPr>
          <w:rFonts w:hint="default" w:cs="宋体"/>
          <w:b w:val="0"/>
          <w:color w:val="000000"/>
          <w:sz w:val="21"/>
          <w:szCs w:val="21"/>
          <w:lang w:val="en-US" w:eastAsia="zh-CN"/>
        </w:rPr>
      </w:pPr>
      <w:r>
        <w:rPr>
          <w:rFonts w:hint="eastAsia" w:cs="宋体"/>
          <w:b w:val="0"/>
          <w:color w:val="000000"/>
          <w:sz w:val="21"/>
          <w:szCs w:val="21"/>
          <w:lang w:val="en-US" w:eastAsia="zh-CN"/>
        </w:rPr>
        <w:t>（6）具有幼儿园环境创设与利用的基本知识，具备合理创设与利用幼儿园环境的能力；</w:t>
      </w:r>
    </w:p>
    <w:p w14:paraId="3236B722">
      <w:pPr>
        <w:pStyle w:val="3"/>
        <w:pageBreakBefore w:val="0"/>
        <w:kinsoku/>
        <w:wordWrap/>
        <w:overflowPunct/>
        <w:topLinePunct w:val="0"/>
        <w:bidi w:val="0"/>
        <w:adjustRightInd/>
        <w:snapToGrid/>
        <w:spacing w:before="0" w:beforeLines="0" w:after="0" w:afterLines="0" w:line="360" w:lineRule="exact"/>
        <w:ind w:firstLine="420"/>
        <w:rPr>
          <w:rFonts w:hint="default" w:cs="宋体"/>
          <w:b w:val="0"/>
          <w:color w:val="000000"/>
          <w:sz w:val="21"/>
          <w:szCs w:val="21"/>
          <w:lang w:val="en-US" w:eastAsia="zh-CN"/>
        </w:rPr>
      </w:pPr>
      <w:r>
        <w:rPr>
          <w:rFonts w:hint="eastAsia" w:cs="宋体"/>
          <w:b w:val="0"/>
          <w:color w:val="000000"/>
          <w:sz w:val="21"/>
          <w:szCs w:val="21"/>
          <w:lang w:val="en-US" w:eastAsia="zh-CN"/>
        </w:rPr>
        <w:t>（7）掌握幼儿园保教活动所必需的弹、唱、跳、画、说等基本技能，具有应用以上技能开展保教活动的能力；</w:t>
      </w:r>
    </w:p>
    <w:p w14:paraId="716768BD">
      <w:pPr>
        <w:pStyle w:val="3"/>
        <w:pageBreakBefore w:val="0"/>
        <w:kinsoku/>
        <w:wordWrap/>
        <w:overflowPunct/>
        <w:topLinePunct w:val="0"/>
        <w:bidi w:val="0"/>
        <w:adjustRightInd/>
        <w:snapToGrid/>
        <w:spacing w:before="0" w:beforeLines="0" w:after="0" w:afterLines="0" w:line="360" w:lineRule="exact"/>
        <w:ind w:firstLine="420"/>
        <w:rPr>
          <w:rFonts w:hint="default" w:cs="宋体"/>
          <w:b w:val="0"/>
          <w:color w:val="000000"/>
          <w:sz w:val="21"/>
          <w:szCs w:val="21"/>
          <w:lang w:val="en-US" w:eastAsia="zh-CN"/>
        </w:rPr>
      </w:pPr>
      <w:r>
        <w:rPr>
          <w:rFonts w:hint="eastAsia" w:cs="宋体"/>
          <w:b w:val="0"/>
          <w:color w:val="000000"/>
          <w:sz w:val="21"/>
          <w:szCs w:val="21"/>
          <w:lang w:val="en-US" w:eastAsia="zh-CN"/>
        </w:rPr>
        <w:t>（8）掌握观察记录、谈话和作品分析等了解幼儿的方法，具备与幼儿、家长有效沟通，正确激励与评价幼儿的能力；</w:t>
      </w:r>
    </w:p>
    <w:p w14:paraId="5EF02289">
      <w:pPr>
        <w:pStyle w:val="3"/>
        <w:pageBreakBefore w:val="0"/>
        <w:kinsoku/>
        <w:wordWrap/>
        <w:overflowPunct/>
        <w:topLinePunct w:val="0"/>
        <w:bidi w:val="0"/>
        <w:adjustRightInd/>
        <w:snapToGrid/>
        <w:spacing w:before="0" w:beforeLines="0" w:after="0" w:afterLines="0" w:line="360" w:lineRule="exact"/>
        <w:ind w:firstLine="420"/>
        <w:rPr>
          <w:rFonts w:hint="default" w:cs="宋体"/>
          <w:b w:val="0"/>
          <w:color w:val="000000"/>
          <w:sz w:val="21"/>
          <w:szCs w:val="21"/>
          <w:lang w:val="en-US" w:eastAsia="zh-CN"/>
        </w:rPr>
      </w:pPr>
      <w:r>
        <w:rPr>
          <w:rFonts w:hint="eastAsia" w:cs="宋体"/>
          <w:b w:val="0"/>
          <w:color w:val="000000"/>
          <w:sz w:val="21"/>
          <w:szCs w:val="21"/>
          <w:lang w:val="en-US" w:eastAsia="zh-CN"/>
        </w:rPr>
        <w:t>（9）具备班级管理和家园共育等综合育人能力及融合教育能力；具有教育研究能力及反思和改进保教工作的能力；</w:t>
      </w:r>
    </w:p>
    <w:p w14:paraId="44E3E462">
      <w:pPr>
        <w:pStyle w:val="3"/>
        <w:pageBreakBefore w:val="0"/>
        <w:kinsoku/>
        <w:wordWrap/>
        <w:overflowPunct/>
        <w:topLinePunct w:val="0"/>
        <w:bidi w:val="0"/>
        <w:adjustRightInd/>
        <w:snapToGrid/>
        <w:spacing w:before="0" w:beforeLines="0" w:after="0" w:afterLines="0" w:line="360" w:lineRule="exact"/>
        <w:ind w:firstLine="420"/>
        <w:rPr>
          <w:rFonts w:hint="default" w:cs="宋体"/>
          <w:b w:val="0"/>
          <w:color w:val="000000"/>
          <w:sz w:val="21"/>
          <w:szCs w:val="21"/>
          <w:lang w:val="en-US" w:eastAsia="zh-CN"/>
        </w:rPr>
      </w:pPr>
      <w:r>
        <w:rPr>
          <w:rFonts w:hint="eastAsia" w:cs="宋体"/>
          <w:b w:val="0"/>
          <w:color w:val="000000"/>
          <w:sz w:val="21"/>
          <w:szCs w:val="21"/>
          <w:lang w:val="en-US" w:eastAsia="zh-CN"/>
        </w:rPr>
        <w:t>（10）掌握信息技术基础知识，具有适应本行业数字化和智能化发展需求的数字技能；</w:t>
      </w:r>
    </w:p>
    <w:p w14:paraId="76BB6016">
      <w:pPr>
        <w:pStyle w:val="3"/>
        <w:pageBreakBefore w:val="0"/>
        <w:kinsoku/>
        <w:wordWrap/>
        <w:overflowPunct/>
        <w:topLinePunct w:val="0"/>
        <w:bidi w:val="0"/>
        <w:adjustRightInd/>
        <w:snapToGrid/>
        <w:spacing w:before="0" w:beforeLines="0" w:after="0" w:afterLines="0" w:line="360" w:lineRule="exact"/>
        <w:ind w:firstLine="420"/>
        <w:rPr>
          <w:rFonts w:hint="default" w:cs="宋体"/>
          <w:b w:val="0"/>
          <w:color w:val="000000"/>
          <w:sz w:val="21"/>
          <w:szCs w:val="21"/>
          <w:lang w:val="en-US" w:eastAsia="zh-CN"/>
        </w:rPr>
      </w:pPr>
      <w:r>
        <w:rPr>
          <w:rFonts w:hint="eastAsia" w:cs="宋体"/>
          <w:b w:val="0"/>
          <w:color w:val="000000"/>
          <w:sz w:val="21"/>
          <w:szCs w:val="21"/>
          <w:lang w:val="en-US" w:eastAsia="zh-CN"/>
        </w:rPr>
        <w:t>（11）具有探究学习、终身学习和可持续发展的能力，具有整合知识和综合运用知识分析问题和解决问题的能力；</w:t>
      </w:r>
    </w:p>
    <w:p w14:paraId="7325B957">
      <w:pPr>
        <w:pStyle w:val="3"/>
        <w:pageBreakBefore w:val="0"/>
        <w:kinsoku/>
        <w:wordWrap/>
        <w:overflowPunct/>
        <w:topLinePunct w:val="0"/>
        <w:bidi w:val="0"/>
        <w:adjustRightInd/>
        <w:snapToGrid/>
        <w:spacing w:before="0" w:beforeLines="0" w:after="0" w:afterLines="0" w:line="360" w:lineRule="exact"/>
        <w:ind w:firstLine="420"/>
        <w:rPr>
          <w:rFonts w:hint="default" w:cs="宋体"/>
          <w:b w:val="0"/>
          <w:color w:val="000000"/>
          <w:sz w:val="21"/>
          <w:szCs w:val="21"/>
          <w:lang w:val="en-US" w:eastAsia="zh-CN"/>
        </w:rPr>
      </w:pPr>
      <w:r>
        <w:rPr>
          <w:rFonts w:hint="eastAsia" w:cs="宋体"/>
          <w:b w:val="0"/>
          <w:color w:val="000000"/>
          <w:sz w:val="21"/>
          <w:szCs w:val="21"/>
          <w:lang w:val="en-US" w:eastAsia="zh-CN"/>
        </w:rPr>
        <w:t xml:space="preserve">（12）掌握身体运动的基本知识和至少 </w:t>
      </w:r>
      <w:r>
        <w:rPr>
          <w:rFonts w:hint="default" w:cs="宋体"/>
          <w:b w:val="0"/>
          <w:color w:val="000000"/>
          <w:sz w:val="21"/>
          <w:szCs w:val="21"/>
          <w:lang w:val="en-US" w:eastAsia="zh-CN"/>
        </w:rPr>
        <w:t xml:space="preserve">1 </w:t>
      </w:r>
      <w:r>
        <w:rPr>
          <w:rFonts w:hint="eastAsia" w:cs="宋体"/>
          <w:b w:val="0"/>
          <w:color w:val="000000"/>
          <w:sz w:val="21"/>
          <w:szCs w:val="21"/>
          <w:lang w:val="en-US" w:eastAsia="zh-CN"/>
        </w:rPr>
        <w:t>项体育运动技能，达到国家大学生体质健康测试合格标准，养成良好的运动习惯、卫生习惯和行为习惯；具备一定的心理调适能力；</w:t>
      </w:r>
    </w:p>
    <w:p w14:paraId="47B7ACBF">
      <w:pPr>
        <w:pStyle w:val="3"/>
        <w:pageBreakBefore w:val="0"/>
        <w:kinsoku/>
        <w:wordWrap/>
        <w:overflowPunct/>
        <w:topLinePunct w:val="0"/>
        <w:bidi w:val="0"/>
        <w:adjustRightInd/>
        <w:snapToGrid/>
        <w:spacing w:before="0" w:beforeLines="0" w:after="0" w:afterLines="0" w:line="360" w:lineRule="exact"/>
        <w:ind w:firstLine="420"/>
        <w:rPr>
          <w:rFonts w:hint="default" w:cs="宋体"/>
          <w:b w:val="0"/>
          <w:color w:val="000000"/>
          <w:sz w:val="21"/>
          <w:szCs w:val="21"/>
          <w:lang w:val="en-US" w:eastAsia="zh-CN"/>
        </w:rPr>
      </w:pPr>
      <w:r>
        <w:rPr>
          <w:rFonts w:hint="eastAsia" w:cs="宋体"/>
          <w:b w:val="0"/>
          <w:color w:val="000000"/>
          <w:sz w:val="21"/>
          <w:szCs w:val="21"/>
          <w:lang w:val="en-US" w:eastAsia="zh-CN"/>
        </w:rPr>
        <w:t xml:space="preserve">（13）掌握必备的美育知识，具有一定的文化修养、审美能力，形成至少 </w:t>
      </w:r>
      <w:r>
        <w:rPr>
          <w:rFonts w:hint="default" w:cs="宋体"/>
          <w:b w:val="0"/>
          <w:color w:val="000000"/>
          <w:sz w:val="21"/>
          <w:szCs w:val="21"/>
          <w:lang w:val="en-US" w:eastAsia="zh-CN"/>
        </w:rPr>
        <w:t xml:space="preserve">1 </w:t>
      </w:r>
      <w:r>
        <w:rPr>
          <w:rFonts w:hint="eastAsia" w:cs="宋体"/>
          <w:b w:val="0"/>
          <w:color w:val="000000"/>
          <w:sz w:val="21"/>
          <w:szCs w:val="21"/>
          <w:lang w:val="en-US" w:eastAsia="zh-CN"/>
        </w:rPr>
        <w:t>项艺术特长或爱好；</w:t>
      </w:r>
    </w:p>
    <w:p w14:paraId="4A998FD1">
      <w:pPr>
        <w:pStyle w:val="3"/>
        <w:pageBreakBefore w:val="0"/>
        <w:kinsoku/>
        <w:wordWrap/>
        <w:overflowPunct/>
        <w:topLinePunct w:val="0"/>
        <w:bidi w:val="0"/>
        <w:adjustRightInd/>
        <w:snapToGrid/>
        <w:spacing w:before="0" w:beforeLines="0" w:after="0" w:afterLines="0" w:line="360" w:lineRule="exact"/>
        <w:ind w:firstLine="420"/>
        <w:rPr>
          <w:rFonts w:hint="eastAsia" w:cs="宋体"/>
          <w:b w:val="0"/>
          <w:color w:val="000000"/>
          <w:sz w:val="21"/>
          <w:szCs w:val="21"/>
          <w:lang w:val="en-US" w:eastAsia="zh-CN"/>
        </w:rPr>
      </w:pPr>
      <w:r>
        <w:rPr>
          <w:rFonts w:hint="eastAsia" w:cs="宋体"/>
          <w:b w:val="0"/>
          <w:color w:val="000000"/>
          <w:sz w:val="21"/>
          <w:szCs w:val="21"/>
          <w:lang w:val="en-US" w:eastAsia="zh-CN"/>
        </w:rPr>
        <w:t>（</w:t>
      </w:r>
      <w:r>
        <w:rPr>
          <w:rFonts w:hint="default" w:cs="宋体"/>
          <w:b w:val="0"/>
          <w:color w:val="000000"/>
          <w:sz w:val="21"/>
          <w:szCs w:val="21"/>
          <w:lang w:val="en-US" w:eastAsia="zh-CN"/>
        </w:rPr>
        <w:t>14</w:t>
      </w:r>
      <w:r>
        <w:rPr>
          <w:rFonts w:hint="eastAsia" w:cs="宋体"/>
          <w:b w:val="0"/>
          <w:color w:val="000000"/>
          <w:sz w:val="21"/>
          <w:szCs w:val="21"/>
          <w:lang w:val="en-US" w:eastAsia="zh-CN"/>
        </w:rPr>
        <w:t>）树立正确的劳动观，尊重劳动，热爱劳动，具备与本专业职业发展相适应的劳动素养，弘扬劳模精神、劳动精神、工匠精神，弘扬劳动光荣、技能宝贵、创造伟大的时代风尚；</w:t>
      </w:r>
    </w:p>
    <w:p w14:paraId="4F1950F3">
      <w:pPr>
        <w:pStyle w:val="6"/>
        <w:keepNext w:val="0"/>
        <w:keepLines w:val="0"/>
        <w:pageBreakBefore w:val="0"/>
        <w:widowControl/>
        <w:kinsoku/>
        <w:wordWrap/>
        <w:overflowPunct/>
        <w:topLinePunct w:val="0"/>
        <w:bidi w:val="0"/>
        <w:spacing w:line="360" w:lineRule="exact"/>
        <w:ind w:firstLine="420" w:firstLineChars="200"/>
        <w:outlineLvl w:val="3"/>
        <w:rPr>
          <w:rFonts w:hint="eastAsia" w:ascii="宋体" w:hAnsi="宋体" w:eastAsia="宋体" w:cs="宋体"/>
          <w:b w:val="0"/>
          <w:color w:val="000000"/>
          <w:kern w:val="44"/>
          <w:sz w:val="21"/>
          <w:szCs w:val="21"/>
          <w:lang w:val="en-US" w:eastAsia="zh-CN" w:bidi="ar-SA"/>
        </w:rPr>
      </w:pPr>
      <w:r>
        <w:rPr>
          <w:rFonts w:hint="eastAsia" w:ascii="宋体" w:hAnsi="宋体" w:eastAsia="宋体" w:cs="宋体"/>
          <w:b w:val="0"/>
          <w:color w:val="000000"/>
          <w:kern w:val="44"/>
          <w:sz w:val="21"/>
          <w:szCs w:val="21"/>
          <w:lang w:val="en-US" w:eastAsia="zh-CN" w:bidi="ar-SA"/>
        </w:rPr>
        <w:t>（15）具有求实创新的科学精神、刻苦钻研的实干精神、团结协作的团队精神</w:t>
      </w:r>
      <w:r>
        <w:rPr>
          <w:rFonts w:hint="eastAsia" w:ascii="宋体" w:hAnsi="宋体" w:cs="宋体"/>
          <w:b w:val="0"/>
          <w:color w:val="000000"/>
          <w:kern w:val="44"/>
          <w:sz w:val="21"/>
          <w:szCs w:val="21"/>
          <w:lang w:val="en-US" w:eastAsia="zh-CN" w:bidi="ar-SA"/>
        </w:rPr>
        <w:t>。</w:t>
      </w:r>
    </w:p>
    <w:p w14:paraId="63B73D14">
      <w:pPr>
        <w:pStyle w:val="3"/>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六、课程设置及要求</w:t>
      </w:r>
    </w:p>
    <w:p w14:paraId="483C26DE">
      <w:pPr>
        <w:pageBreakBefore w:val="0"/>
        <w:kinsoku/>
        <w:wordWrap/>
        <w:overflowPunct/>
        <w:topLinePunct w:val="0"/>
        <w:bidi w:val="0"/>
        <w:spacing w:line="360" w:lineRule="exact"/>
        <w:ind w:firstLine="422" w:firstLineChars="200"/>
        <w:rPr>
          <w:rFonts w:ascii="宋体" w:hAnsi="宋体"/>
          <w:b/>
          <w:szCs w:val="21"/>
        </w:rPr>
      </w:pPr>
      <w:r>
        <w:rPr>
          <w:rFonts w:hint="eastAsia" w:ascii="宋体" w:hAnsi="宋体" w:cs="宋体"/>
          <w:b/>
          <w:szCs w:val="21"/>
        </w:rPr>
        <w:t>（一）公共基础课程</w:t>
      </w:r>
    </w:p>
    <w:tbl>
      <w:tblPr>
        <w:tblStyle w:val="15"/>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5E39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E2D398B">
            <w:pPr>
              <w:keepLines/>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778" w:type="dxa"/>
            <w:vAlign w:val="center"/>
          </w:tcPr>
          <w:p w14:paraId="6CFB0F27">
            <w:pPr>
              <w:keepLines/>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778" w:type="dxa"/>
            <w:vAlign w:val="center"/>
          </w:tcPr>
          <w:p w14:paraId="735CDB40">
            <w:pPr>
              <w:keepLines/>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778" w:type="dxa"/>
            <w:vAlign w:val="center"/>
          </w:tcPr>
          <w:p w14:paraId="5DC70356">
            <w:pPr>
              <w:keepLines/>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2C56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1F492A6">
            <w:pPr>
              <w:keepLines/>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08EE153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66ECF2F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50BC67C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6F152B49">
            <w:pPr>
              <w:keepLines/>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0D65807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57681DE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5101212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7B6528C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3249526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6BCC220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46A48C4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333BC1A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376D72A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558A323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747E16C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2C60157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4CFC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F7A6402">
            <w:pPr>
              <w:pStyle w:val="6"/>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086E9746">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4D2DEB01">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5AF2206B">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1A8F3B69">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108A80E7">
            <w:pPr>
              <w:keepLines/>
              <w:pageBreakBefore w:val="0"/>
              <w:kinsoku/>
              <w:wordWrap/>
              <w:overflowPunct/>
              <w:topLinePunct w:val="0"/>
              <w:bidi w:val="0"/>
              <w:spacing w:line="360" w:lineRule="exact"/>
              <w:ind w:firstLine="360" w:firstLineChars="200"/>
              <w:rPr>
                <w:rFonts w:ascii="宋体" w:hAnsi="宋体" w:cs="宋体"/>
                <w:bCs/>
                <w:sz w:val="18"/>
                <w:szCs w:val="18"/>
              </w:rPr>
            </w:pPr>
          </w:p>
        </w:tc>
        <w:tc>
          <w:tcPr>
            <w:tcW w:w="2778" w:type="dxa"/>
          </w:tcPr>
          <w:p w14:paraId="5B03960F">
            <w:pPr>
              <w:pStyle w:val="6"/>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178D0BE4">
            <w:pPr>
              <w:pStyle w:val="6"/>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1926F245">
            <w:pPr>
              <w:pStyle w:val="6"/>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1AC1C78D">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57E9A1D0">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14EDD0E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4A40996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21A8CD0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14F0DB2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65598A4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6A30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11CD998">
            <w:pPr>
              <w:pStyle w:val="6"/>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p w14:paraId="7C4BEE36">
            <w:pPr>
              <w:pStyle w:val="6"/>
              <w:keepNext w:val="0"/>
              <w:pageBreakBefore w:val="0"/>
              <w:kinsoku/>
              <w:wordWrap/>
              <w:overflowPunct/>
              <w:topLinePunct w:val="0"/>
              <w:bidi w:val="0"/>
              <w:spacing w:line="360" w:lineRule="exact"/>
              <w:jc w:val="center"/>
              <w:outlineLvl w:val="3"/>
              <w:rPr>
                <w:rFonts w:ascii="宋体" w:hAnsi="宋体" w:cs="宋体"/>
                <w:b w:val="0"/>
                <w:bCs/>
                <w:color w:val="auto"/>
                <w:sz w:val="18"/>
                <w:szCs w:val="18"/>
              </w:rPr>
            </w:pPr>
          </w:p>
        </w:tc>
        <w:tc>
          <w:tcPr>
            <w:tcW w:w="2778" w:type="dxa"/>
          </w:tcPr>
          <w:p w14:paraId="0A8E120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6D325FE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7C9BEB9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765FB4E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59F3A8B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280BF5D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7B5BD30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52EDFA3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（3）坚持党的全面领导。</w:t>
            </w:r>
          </w:p>
          <w:p w14:paraId="62B36ED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（4）坚持以人民为中心。</w:t>
            </w:r>
          </w:p>
          <w:p w14:paraId="26FE71A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（5）全面深化改革</w:t>
            </w:r>
          </w:p>
          <w:p w14:paraId="07254A1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5915938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（5）全面依法治国。</w:t>
            </w:r>
          </w:p>
          <w:p w14:paraId="640BE03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（6）维护和塑造国家安全。</w:t>
            </w:r>
          </w:p>
          <w:p w14:paraId="5000675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357F9EE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4A5F156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p w14:paraId="1B701D49">
            <w:pPr>
              <w:keepLines/>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0413466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2A3B2CB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72CE2B5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5D35F32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7CC4A5B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24BFA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B6823BD">
            <w:pPr>
              <w:pStyle w:val="6"/>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tc>
        <w:tc>
          <w:tcPr>
            <w:tcW w:w="2778" w:type="dxa"/>
          </w:tcPr>
          <w:p w14:paraId="0F6C96B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1BE93C6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38C182F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009C22B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374BEDD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085FF6D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0D4E07C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C79E11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5BC6206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1FEA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1C004E0">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sz w:val="18"/>
                <w:szCs w:val="18"/>
              </w:rPr>
              <w:t>大学体育</w:t>
            </w:r>
          </w:p>
        </w:tc>
        <w:tc>
          <w:tcPr>
            <w:tcW w:w="2778" w:type="dxa"/>
          </w:tcPr>
          <w:p w14:paraId="24A27EB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4A57AA1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3298C39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3DFA52F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0E3ED2B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（5）遵守体育道德规范和行为准则，发扬体育精神，塑造良好的体育品格，增强责任意识、规则意识和团队意识，正确处理竞争与合作的关系。</w:t>
            </w:r>
          </w:p>
        </w:tc>
        <w:tc>
          <w:tcPr>
            <w:tcW w:w="2778" w:type="dxa"/>
          </w:tcPr>
          <w:p w14:paraId="758E8EC1">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697B807F">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4843907D">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167EEA86">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4746AA93">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p w14:paraId="03FDF211">
            <w:pPr>
              <w:pStyle w:val="7"/>
              <w:keepLines/>
              <w:pageBreakBefore w:val="0"/>
              <w:kinsoku/>
              <w:wordWrap/>
              <w:overflowPunct/>
              <w:topLinePunct w:val="0"/>
              <w:bidi w:val="0"/>
              <w:spacing w:line="360" w:lineRule="exact"/>
              <w:jc w:val="both"/>
              <w:rPr>
                <w:rFonts w:ascii="宋体" w:hAnsi="宋体" w:cs="宋体"/>
                <w:bCs/>
                <w:sz w:val="18"/>
                <w:szCs w:val="18"/>
              </w:rPr>
            </w:pPr>
          </w:p>
          <w:p w14:paraId="72256F6E">
            <w:pPr>
              <w:pStyle w:val="7"/>
              <w:keepLines/>
              <w:pageBreakBefore w:val="0"/>
              <w:kinsoku/>
              <w:wordWrap/>
              <w:overflowPunct/>
              <w:topLinePunct w:val="0"/>
              <w:bidi w:val="0"/>
              <w:spacing w:line="360" w:lineRule="exact"/>
              <w:jc w:val="both"/>
              <w:rPr>
                <w:rFonts w:ascii="宋体" w:hAnsi="宋体" w:cs="宋体"/>
                <w:bCs/>
                <w:sz w:val="18"/>
                <w:szCs w:val="18"/>
              </w:rPr>
            </w:pPr>
          </w:p>
        </w:tc>
        <w:tc>
          <w:tcPr>
            <w:tcW w:w="2778" w:type="dxa"/>
          </w:tcPr>
          <w:p w14:paraId="753A8F30">
            <w:pPr>
              <w:pStyle w:val="6"/>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6D5D9535">
            <w:pPr>
              <w:pStyle w:val="6"/>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2BFA6D0C">
            <w:pPr>
              <w:pStyle w:val="6"/>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48EE6E1C">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4CCA1F11">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63A64647">
            <w:pPr>
              <w:keepLines/>
              <w:pageBreakBefore w:val="0"/>
              <w:kinsoku/>
              <w:wordWrap/>
              <w:overflowPunct/>
              <w:topLinePunct w:val="0"/>
              <w:bidi w:val="0"/>
              <w:spacing w:line="360" w:lineRule="exact"/>
              <w:rPr>
                <w:rFonts w:ascii="宋体" w:hAnsi="宋体" w:cs="宋体"/>
                <w:bCs/>
                <w:sz w:val="18"/>
                <w:szCs w:val="18"/>
              </w:rPr>
            </w:pPr>
          </w:p>
          <w:p w14:paraId="6B02E7B3">
            <w:pPr>
              <w:keepLines/>
              <w:pageBreakBefore w:val="0"/>
              <w:kinsoku/>
              <w:wordWrap/>
              <w:overflowPunct/>
              <w:topLinePunct w:val="0"/>
              <w:bidi w:val="0"/>
              <w:spacing w:line="360" w:lineRule="exact"/>
              <w:rPr>
                <w:rFonts w:ascii="宋体" w:hAnsi="宋体" w:cs="宋体"/>
                <w:b/>
                <w:bCs/>
                <w:sz w:val="18"/>
                <w:szCs w:val="18"/>
              </w:rPr>
            </w:pPr>
          </w:p>
        </w:tc>
      </w:tr>
      <w:tr w14:paraId="602E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13F0304">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军事理论</w:t>
            </w:r>
          </w:p>
        </w:tc>
        <w:tc>
          <w:tcPr>
            <w:tcW w:w="2778" w:type="dxa"/>
          </w:tcPr>
          <w:p w14:paraId="5934BF2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3473A49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38A00F8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1DE2935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483E9DE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17EC3FE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6210FD7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3C0642C9">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6C68E99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43D8A3D3">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0FA9F725">
            <w:pPr>
              <w:pStyle w:val="6"/>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418D07D0">
            <w:pPr>
              <w:pStyle w:val="6"/>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5BDF7056">
            <w:pPr>
              <w:pStyle w:val="6"/>
              <w:keepNext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1A22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880FC60">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劳动教育与实践</w:t>
            </w:r>
          </w:p>
        </w:tc>
        <w:tc>
          <w:tcPr>
            <w:tcW w:w="2778" w:type="dxa"/>
          </w:tcPr>
          <w:p w14:paraId="2DF2760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6AF22CB1">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2A15BF9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4D8ACA6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4A5801D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639EE2FC">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365E7CE4">
            <w:pPr>
              <w:pStyle w:val="7"/>
              <w:keepLines/>
              <w:pageBreakBefore w:val="0"/>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70FBB8A3">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650380D1">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09782CBB">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3E882EC4">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43D0FE53">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72CC2483">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14BE438D">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3EFAD6C8">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36F7419F">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51CD0422">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3631E91E">
            <w:pPr>
              <w:pStyle w:val="7"/>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387F4900">
            <w:pPr>
              <w:pStyle w:val="7"/>
              <w:keepLines/>
              <w:pageBreakBefore w:val="0"/>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423B8AC0">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0C4CBB4F">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40CC50BE">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722138FC">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1E6CC2ED">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382CF929">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5E43755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5987B6B3">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3D16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C7FE4EF">
            <w:pPr>
              <w:keepLines/>
              <w:pageBreakBefore w:val="0"/>
              <w:kinsoku/>
              <w:wordWrap/>
              <w:overflowPunct/>
              <w:topLinePunct w:val="0"/>
              <w:bidi w:val="0"/>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647DAF69">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6D10CDDD">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2D572C2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7F13148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3CECA820">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6A440CC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5B7AB16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68834C10">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76D10FD9">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7C500DC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57B6346E">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6B66AF5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0BAD26C8">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2698184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29206A7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60E204AB">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77EED31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399F990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20C72AE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0337A8B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199F241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4B390EF2">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22E51CCF">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2DA48960">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3F6CAB2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072E39D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1BD30DA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0086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2CD7FAB">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职业发展与就业指导</w:t>
            </w:r>
          </w:p>
        </w:tc>
        <w:tc>
          <w:tcPr>
            <w:tcW w:w="2778" w:type="dxa"/>
          </w:tcPr>
          <w:p w14:paraId="6D1913D0">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（1）了解高职教育的特点、目标及其意义，明确职业分类与特征。</w:t>
            </w:r>
          </w:p>
          <w:p w14:paraId="0153BFFA">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（2）理解职业生涯及发展的相关理论知识，熟悉职业生涯规划的要素及程序。</w:t>
            </w:r>
          </w:p>
          <w:p w14:paraId="3FD6CE4D">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（3）清楚就业形势与政策、法规和职业规范，了解毕业生就业权益，掌握就业方法和技巧。</w:t>
            </w:r>
          </w:p>
          <w:p w14:paraId="372A869E">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（4）掌握基本的劳动力市场信息、相关的职业分类知识。</w:t>
            </w:r>
          </w:p>
          <w:p w14:paraId="324EAA89">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（5）具有对自我和环境的分析评价能力。</w:t>
            </w:r>
          </w:p>
          <w:p w14:paraId="259C447C">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（6）具备信息搜索与管理技能、生涯决策技能、求职技能等。</w:t>
            </w:r>
          </w:p>
          <w:p w14:paraId="10BCF667">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（7）具备与他人有效沟通与合作能力。</w:t>
            </w:r>
          </w:p>
          <w:p w14:paraId="690F6637">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（8）能够搜集、分析、选择就业信息，制定职业生涯规划。</w:t>
            </w:r>
          </w:p>
          <w:p w14:paraId="7E4CB924">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（9）能应用求职简历、求职信、面试技巧等方法进行自我推荐。</w:t>
            </w:r>
          </w:p>
          <w:p w14:paraId="5F16D33B">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（10）建立职业生涯发展的自主意识和爱岗敬业、吃苦耐劳、开拓创新的精神，树立积极正确职业态度和就业观念。</w:t>
            </w:r>
          </w:p>
          <w:p w14:paraId="0059501B">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（11）能自觉为个人生涯发展做出积极的努力，积极投身国家建设事业，为国家发展贡献力量。</w:t>
            </w:r>
          </w:p>
          <w:p w14:paraId="6139F7AE">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sz w:val="18"/>
                <w:szCs w:val="18"/>
              </w:rPr>
              <w:t>（12）了解国家出台的促进学生就业的政策，将自身职业发展与国家发展、时代需要结合起来。</w:t>
            </w:r>
          </w:p>
        </w:tc>
        <w:tc>
          <w:tcPr>
            <w:tcW w:w="2778" w:type="dxa"/>
          </w:tcPr>
          <w:p w14:paraId="78522123">
            <w:pPr>
              <w:pageBreakBefore w:val="0"/>
              <w:widowControl/>
              <w:kinsoku/>
              <w:wordWrap/>
              <w:overflowPunct/>
              <w:topLinePunct w:val="0"/>
              <w:bidi w:val="0"/>
              <w:spacing w:line="360" w:lineRule="exact"/>
              <w:rPr>
                <w:rFonts w:ascii="宋体" w:hAnsi="宋体" w:cs="宋体"/>
                <w:kern w:val="0"/>
                <w:sz w:val="18"/>
                <w:szCs w:val="18"/>
              </w:rPr>
            </w:pPr>
            <w:r>
              <w:rPr>
                <w:rFonts w:hint="eastAsia" w:ascii="宋体" w:hAnsi="宋体" w:cs="宋体"/>
                <w:kern w:val="0"/>
                <w:sz w:val="18"/>
                <w:szCs w:val="18"/>
              </w:rPr>
              <w:t>模块一 认识大学生就业</w:t>
            </w:r>
          </w:p>
          <w:p w14:paraId="6A37FD69">
            <w:pPr>
              <w:pageBreakBefore w:val="0"/>
              <w:widowControl/>
              <w:kinsoku/>
              <w:wordWrap/>
              <w:overflowPunct/>
              <w:topLinePunct w:val="0"/>
              <w:bidi w:val="0"/>
              <w:spacing w:line="360" w:lineRule="exact"/>
              <w:ind w:firstLine="360" w:firstLineChars="200"/>
              <w:rPr>
                <w:rFonts w:ascii="宋体" w:hAnsi="宋体" w:cs="宋体"/>
                <w:kern w:val="0"/>
                <w:sz w:val="18"/>
                <w:szCs w:val="18"/>
              </w:rPr>
            </w:pPr>
            <w:r>
              <w:rPr>
                <w:rFonts w:hint="eastAsia" w:ascii="宋体" w:hAnsi="宋体" w:cs="宋体"/>
                <w:kern w:val="0"/>
                <w:sz w:val="18"/>
                <w:szCs w:val="18"/>
              </w:rPr>
              <w:t>通过就业指导，熟悉就业制度与政策。</w:t>
            </w:r>
          </w:p>
          <w:p w14:paraId="68A29866">
            <w:pPr>
              <w:pageBreakBefore w:val="0"/>
              <w:widowControl/>
              <w:kinsoku/>
              <w:wordWrap/>
              <w:overflowPunct/>
              <w:topLinePunct w:val="0"/>
              <w:bidi w:val="0"/>
              <w:spacing w:line="360" w:lineRule="exact"/>
              <w:rPr>
                <w:rFonts w:ascii="宋体" w:hAnsi="宋体" w:cs="宋体"/>
                <w:kern w:val="0"/>
                <w:sz w:val="18"/>
                <w:szCs w:val="18"/>
              </w:rPr>
            </w:pPr>
            <w:r>
              <w:rPr>
                <w:rFonts w:hint="eastAsia" w:ascii="宋体" w:hAnsi="宋体" w:cs="宋体"/>
                <w:kern w:val="0"/>
                <w:sz w:val="18"/>
                <w:szCs w:val="18"/>
              </w:rPr>
              <w:t>模块二 规划职业生涯</w:t>
            </w:r>
          </w:p>
          <w:p w14:paraId="4D1C4C24">
            <w:pPr>
              <w:pageBreakBefore w:val="0"/>
              <w:widowControl/>
              <w:kinsoku/>
              <w:wordWrap/>
              <w:overflowPunct/>
              <w:topLinePunct w:val="0"/>
              <w:bidi w:val="0"/>
              <w:spacing w:line="360" w:lineRule="exact"/>
              <w:ind w:firstLine="420"/>
              <w:rPr>
                <w:rFonts w:ascii="宋体" w:hAnsi="宋体" w:cs="宋体"/>
                <w:kern w:val="0"/>
                <w:sz w:val="18"/>
                <w:szCs w:val="18"/>
              </w:rPr>
            </w:pPr>
            <w:r>
              <w:rPr>
                <w:rFonts w:hint="eastAsia" w:ascii="宋体" w:hAnsi="宋体" w:cs="宋体"/>
                <w:kern w:val="0"/>
                <w:sz w:val="18"/>
                <w:szCs w:val="18"/>
              </w:rPr>
              <w:t>掌握职业生涯发展理论，学会探索自我，能够进行职业环境评估和职业生涯决策、管理。</w:t>
            </w:r>
          </w:p>
          <w:p w14:paraId="28590397">
            <w:pPr>
              <w:pageBreakBefore w:val="0"/>
              <w:widowControl/>
              <w:kinsoku/>
              <w:wordWrap/>
              <w:overflowPunct/>
              <w:topLinePunct w:val="0"/>
              <w:bidi w:val="0"/>
              <w:spacing w:line="360" w:lineRule="exact"/>
              <w:rPr>
                <w:rFonts w:ascii="宋体" w:hAnsi="宋体" w:cs="宋体"/>
                <w:kern w:val="0"/>
                <w:sz w:val="18"/>
                <w:szCs w:val="18"/>
              </w:rPr>
            </w:pPr>
            <w:r>
              <w:rPr>
                <w:rFonts w:hint="eastAsia" w:ascii="宋体" w:hAnsi="宋体" w:cs="宋体"/>
                <w:kern w:val="0"/>
                <w:sz w:val="18"/>
                <w:szCs w:val="18"/>
              </w:rPr>
              <w:t>模块三 提升就业能力</w:t>
            </w:r>
          </w:p>
          <w:p w14:paraId="24930A10">
            <w:pPr>
              <w:pageBreakBefore w:val="0"/>
              <w:widowControl/>
              <w:kinsoku/>
              <w:wordWrap/>
              <w:overflowPunct/>
              <w:topLinePunct w:val="0"/>
              <w:bidi w:val="0"/>
              <w:spacing w:line="360" w:lineRule="exact"/>
              <w:ind w:firstLine="420"/>
              <w:rPr>
                <w:rFonts w:ascii="宋体" w:hAnsi="宋体" w:cs="宋体"/>
                <w:kern w:val="0"/>
                <w:sz w:val="18"/>
                <w:szCs w:val="18"/>
              </w:rPr>
            </w:pPr>
            <w:r>
              <w:rPr>
                <w:rFonts w:hint="eastAsia" w:ascii="宋体" w:hAnsi="宋体" w:cs="宋体"/>
                <w:kern w:val="0"/>
                <w:sz w:val="18"/>
                <w:szCs w:val="18"/>
              </w:rPr>
              <w:t>了解大学生就业能力的内涵，培养对环境的适应能力和自主学习的能力，通过学习和活动锻炼培养表达能力、人际交往能力、信息处理能力等。</w:t>
            </w:r>
          </w:p>
          <w:p w14:paraId="13C8C1B0">
            <w:pPr>
              <w:pageBreakBefore w:val="0"/>
              <w:widowControl/>
              <w:kinsoku/>
              <w:wordWrap/>
              <w:overflowPunct/>
              <w:topLinePunct w:val="0"/>
              <w:bidi w:val="0"/>
              <w:spacing w:line="360" w:lineRule="exact"/>
              <w:rPr>
                <w:rFonts w:ascii="宋体" w:hAnsi="宋体" w:cs="宋体"/>
                <w:kern w:val="0"/>
                <w:sz w:val="18"/>
                <w:szCs w:val="18"/>
              </w:rPr>
            </w:pPr>
            <w:r>
              <w:rPr>
                <w:rFonts w:hint="eastAsia" w:ascii="宋体" w:hAnsi="宋体" w:cs="宋体"/>
                <w:kern w:val="0"/>
                <w:sz w:val="18"/>
                <w:szCs w:val="18"/>
              </w:rPr>
              <w:t>模块四 准备求职面试</w:t>
            </w:r>
          </w:p>
          <w:p w14:paraId="71C12573">
            <w:pPr>
              <w:pageBreakBefore w:val="0"/>
              <w:widowControl/>
              <w:kinsoku/>
              <w:wordWrap/>
              <w:overflowPunct/>
              <w:topLinePunct w:val="0"/>
              <w:bidi w:val="0"/>
              <w:spacing w:line="360" w:lineRule="exact"/>
              <w:ind w:firstLine="420"/>
              <w:rPr>
                <w:rFonts w:ascii="宋体" w:hAnsi="宋体" w:cs="宋体"/>
                <w:kern w:val="0"/>
                <w:sz w:val="18"/>
                <w:szCs w:val="18"/>
              </w:rPr>
            </w:pPr>
            <w:r>
              <w:rPr>
                <w:rFonts w:hint="eastAsia" w:ascii="宋体" w:hAnsi="宋体" w:cs="宋体"/>
                <w:kern w:val="0"/>
                <w:sz w:val="18"/>
                <w:szCs w:val="18"/>
              </w:rPr>
              <w:t>学会对求职信息进行搜集与整理，了解求职材料的准备，了解面试技巧。</w:t>
            </w:r>
          </w:p>
          <w:p w14:paraId="1EF8ECF4">
            <w:pPr>
              <w:pageBreakBefore w:val="0"/>
              <w:widowControl/>
              <w:kinsoku/>
              <w:wordWrap/>
              <w:overflowPunct/>
              <w:topLinePunct w:val="0"/>
              <w:bidi w:val="0"/>
              <w:spacing w:line="360" w:lineRule="exact"/>
              <w:rPr>
                <w:rFonts w:ascii="宋体" w:hAnsi="宋体" w:cs="宋体"/>
                <w:kern w:val="0"/>
                <w:sz w:val="18"/>
                <w:szCs w:val="18"/>
              </w:rPr>
            </w:pPr>
            <w:r>
              <w:rPr>
                <w:rFonts w:hint="eastAsia" w:ascii="宋体" w:hAnsi="宋体" w:cs="宋体"/>
                <w:kern w:val="0"/>
                <w:sz w:val="18"/>
                <w:szCs w:val="18"/>
              </w:rPr>
              <w:t>模块五 迈好职场第一步</w:t>
            </w:r>
          </w:p>
          <w:p w14:paraId="1E224AFC">
            <w:pPr>
              <w:pageBreakBefore w:val="0"/>
              <w:widowControl/>
              <w:kinsoku/>
              <w:wordWrap/>
              <w:overflowPunct/>
              <w:topLinePunct w:val="0"/>
              <w:bidi w:val="0"/>
              <w:spacing w:line="360" w:lineRule="exact"/>
              <w:ind w:firstLine="420"/>
              <w:rPr>
                <w:rFonts w:ascii="宋体" w:hAnsi="宋体" w:cs="宋体"/>
                <w:kern w:val="0"/>
                <w:sz w:val="18"/>
                <w:szCs w:val="18"/>
              </w:rPr>
            </w:pPr>
            <w:r>
              <w:rPr>
                <w:rFonts w:hint="eastAsia" w:ascii="宋体" w:hAnsi="宋体" w:cs="宋体"/>
                <w:kern w:val="0"/>
                <w:sz w:val="18"/>
                <w:szCs w:val="18"/>
              </w:rPr>
              <w:t>能够顺利转换角色、定位自我，认识和适应新的环境，了解工作中的注意事项。</w:t>
            </w:r>
          </w:p>
          <w:p w14:paraId="65531333">
            <w:pPr>
              <w:pageBreakBefore w:val="0"/>
              <w:widowControl/>
              <w:kinsoku/>
              <w:wordWrap/>
              <w:overflowPunct/>
              <w:topLinePunct w:val="0"/>
              <w:bidi w:val="0"/>
              <w:spacing w:line="360" w:lineRule="exact"/>
              <w:rPr>
                <w:rFonts w:ascii="宋体" w:hAnsi="宋体" w:cs="宋体"/>
                <w:kern w:val="0"/>
                <w:sz w:val="18"/>
                <w:szCs w:val="18"/>
              </w:rPr>
            </w:pPr>
            <w:r>
              <w:rPr>
                <w:rFonts w:hint="eastAsia" w:ascii="宋体" w:hAnsi="宋体" w:cs="宋体"/>
                <w:kern w:val="0"/>
                <w:sz w:val="18"/>
                <w:szCs w:val="18"/>
              </w:rPr>
              <w:t>模块六 就业权益与保障</w:t>
            </w:r>
          </w:p>
          <w:p w14:paraId="6C7AF583">
            <w:pPr>
              <w:pageBreakBefore w:val="0"/>
              <w:widowControl/>
              <w:kinsoku/>
              <w:wordWrap/>
              <w:overflowPunct/>
              <w:topLinePunct w:val="0"/>
              <w:bidi w:val="0"/>
              <w:spacing w:line="360" w:lineRule="exact"/>
              <w:ind w:firstLine="420"/>
              <w:rPr>
                <w:rFonts w:ascii="宋体" w:hAnsi="宋体" w:cs="宋体"/>
                <w:kern w:val="0"/>
                <w:sz w:val="18"/>
                <w:szCs w:val="18"/>
              </w:rPr>
            </w:pPr>
            <w:r>
              <w:rPr>
                <w:rFonts w:hint="eastAsia" w:ascii="宋体" w:hAnsi="宋体" w:cs="宋体"/>
                <w:kern w:val="0"/>
                <w:sz w:val="18"/>
                <w:szCs w:val="18"/>
              </w:rPr>
              <w:t>了解求职过程中常见的侵权行为与保护途径，明白违约责任与劳动争议。</w:t>
            </w:r>
          </w:p>
          <w:p w14:paraId="2CEEDEA8">
            <w:pPr>
              <w:pStyle w:val="7"/>
              <w:pageBreakBefore w:val="0"/>
              <w:kinsoku/>
              <w:wordWrap/>
              <w:overflowPunct/>
              <w:topLinePunct w:val="0"/>
              <w:bidi w:val="0"/>
              <w:spacing w:line="360" w:lineRule="exact"/>
              <w:jc w:val="both"/>
              <w:rPr>
                <w:rFonts w:ascii="宋体" w:hAnsi="宋体" w:cs="宋体"/>
                <w:bCs/>
                <w:sz w:val="18"/>
                <w:szCs w:val="18"/>
              </w:rPr>
            </w:pPr>
          </w:p>
        </w:tc>
        <w:tc>
          <w:tcPr>
            <w:tcW w:w="2778" w:type="dxa"/>
          </w:tcPr>
          <w:p w14:paraId="732721BA">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395900BB">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（2）教学方法：遵循教育教学规律，坚持理论讲授与案例分析相结合、小组讨论与角色体验相结合、经验传授与求职就业实践相结合，调动学生学习职业规划的积极性、主动性，不断提高教学质量和水平。</w:t>
            </w:r>
          </w:p>
          <w:p w14:paraId="2D7EBA8E">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（3）教学条件：多媒体教室和智慧校园平台。</w:t>
            </w:r>
          </w:p>
          <w:p w14:paraId="4DBD7A47">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（4）教师要求：本课程的主讲教师须有过指导学生就业或从事过学生管理的工作经历，熟悉企业招聘流程和规则，能够理论联系实际帮助学生做好职业规划。</w:t>
            </w:r>
          </w:p>
          <w:p w14:paraId="361BB855">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（5）课程思政：能够结合社会主义核心价值观引导学生树立“爱岗”“敬业”“诚信”“守信”等良好品质。</w:t>
            </w:r>
          </w:p>
          <w:p w14:paraId="3E2DC109">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（6）评价建议：采取学习过程考核（30%）+期末测评（70%）评定学习效果。</w:t>
            </w:r>
          </w:p>
          <w:p w14:paraId="040F25B6">
            <w:pPr>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（5）课程思政：能够结合社会主义核心价值观引导学生树立“爱岗”“敬业”“诚信”“守信”等良好品质。</w:t>
            </w:r>
          </w:p>
          <w:p w14:paraId="38B99305">
            <w:pPr>
              <w:pageBreakBefore w:val="0"/>
              <w:widowControl/>
              <w:kinsoku/>
              <w:wordWrap/>
              <w:overflowPunct/>
              <w:topLinePunct w:val="0"/>
              <w:bidi w:val="0"/>
              <w:spacing w:line="360" w:lineRule="exact"/>
              <w:ind w:firstLine="55"/>
              <w:rPr>
                <w:rFonts w:ascii="宋体" w:hAnsi="宋体" w:cs="宋体"/>
                <w:b/>
                <w:sz w:val="18"/>
                <w:szCs w:val="18"/>
              </w:rPr>
            </w:pPr>
            <w:r>
              <w:rPr>
                <w:rFonts w:hint="eastAsia" w:ascii="宋体" w:hAnsi="宋体" w:cs="宋体"/>
                <w:sz w:val="18"/>
                <w:szCs w:val="18"/>
              </w:rPr>
              <w:t>（6）评价建议：采取学习过程考核（50%）+期末测评（50%）评定学习效果。</w:t>
            </w:r>
          </w:p>
        </w:tc>
      </w:tr>
      <w:tr w14:paraId="24BF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8EF26D7">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77A27FA0">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100B2C7D">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577FA7B4">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77766536">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03FCD6B9">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2F7C83A7">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523C9320">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60224AE6">
            <w:pPr>
              <w:keepLines/>
              <w:pageBreakBefore w:val="0"/>
              <w:widowControl/>
              <w:kinsoku/>
              <w:wordWrap/>
              <w:overflowPunct/>
              <w:topLinePunct w:val="0"/>
              <w:bidi w:val="0"/>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42C253DC">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14EE1E77">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3C0766E6">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0AFC1C79">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394BCA2A">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01D84F97">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（2）创新意识和创新能力。 </w:t>
            </w:r>
          </w:p>
          <w:p w14:paraId="1553650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（3）创新思维及分类。 </w:t>
            </w:r>
          </w:p>
          <w:p w14:paraId="5B26FC8D">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（4）创新技法。  </w:t>
            </w:r>
          </w:p>
          <w:p w14:paraId="1FEB99B6">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0E060BD0">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1F82A87B">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（7）创业准备。  </w:t>
            </w:r>
          </w:p>
          <w:p w14:paraId="39733059">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（8）创办企业基本步骤。 </w:t>
            </w:r>
          </w:p>
          <w:p w14:paraId="55FF1300">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（9）新创企业经营管理。 </w:t>
            </w:r>
          </w:p>
          <w:p w14:paraId="404CE1A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（10）大学生创业实践项目展示。  </w:t>
            </w:r>
          </w:p>
          <w:p w14:paraId="40002CE8">
            <w:pPr>
              <w:keepLines/>
              <w:pageBreakBefore w:val="0"/>
              <w:widowControl/>
              <w:kinsoku/>
              <w:wordWrap/>
              <w:overflowPunct/>
              <w:topLinePunct w:val="0"/>
              <w:bidi w:val="0"/>
              <w:spacing w:line="360" w:lineRule="exact"/>
              <w:ind w:firstLine="55"/>
              <w:rPr>
                <w:rFonts w:ascii="宋体" w:hAnsi="宋体" w:cs="宋体"/>
                <w:kern w:val="0"/>
                <w:sz w:val="18"/>
                <w:szCs w:val="18"/>
              </w:rPr>
            </w:pPr>
          </w:p>
        </w:tc>
        <w:tc>
          <w:tcPr>
            <w:tcW w:w="2778" w:type="dxa"/>
          </w:tcPr>
          <w:p w14:paraId="6F448087">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6802191D">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04E24425">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47379E94">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2F4AFA9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359EE5E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475E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69C82AAF">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大学英语</w:t>
            </w:r>
          </w:p>
        </w:tc>
        <w:tc>
          <w:tcPr>
            <w:tcW w:w="2778" w:type="dxa"/>
          </w:tcPr>
          <w:p w14:paraId="7623619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088133B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425B815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53747490">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34257C5C">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1. A New Start</w:t>
            </w:r>
          </w:p>
          <w:p w14:paraId="50A2EFA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324E16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F5031C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413676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5A5109D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1736012">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15FF1A7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41F7C6E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C1476D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24FAB7C7">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D97B46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08FE0B3">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Unit3. Enjoy Your Spare Time</w:t>
            </w:r>
          </w:p>
          <w:p w14:paraId="547D8A2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26A6818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BB8DA1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65E137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6DB3E0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8F533B4">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4. Make Your Choices</w:t>
            </w:r>
          </w:p>
          <w:p w14:paraId="147EA46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92379B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A93930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30ECE55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474B7A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58B7E748">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6337282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F7E9192">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38283B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2322E1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3F0C06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1EAD4EF">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6. Love Your Parents</w:t>
            </w:r>
          </w:p>
          <w:p w14:paraId="6D55D1E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0736ED6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0DD9EC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3F95771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247969C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438202D9">
            <w:pPr>
              <w:pageBreakBefore w:val="0"/>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097D937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D81C5B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08389BC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6ADBC9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C122D7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3030CA3C">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8. Travel</w:t>
            </w:r>
          </w:p>
          <w:p w14:paraId="06A34AC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08022077">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863D11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74305E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32D9D5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5CCC9ED6">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1AABBC0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3644235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48E9E8F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0DF7A83D">
            <w:pPr>
              <w:keepLines/>
              <w:pageBreakBefore w:val="0"/>
              <w:kinsoku/>
              <w:wordWrap/>
              <w:overflowPunct/>
              <w:topLinePunct w:val="0"/>
              <w:bidi w:val="0"/>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06DB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CE07E1F">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信息技术</w:t>
            </w:r>
          </w:p>
          <w:p w14:paraId="7F46E376">
            <w:pPr>
              <w:keepLines/>
              <w:pageBreakBefore w:val="0"/>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3C28FF2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55D1AA1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3B73DB4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753F670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68A6DA5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6490252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30E1873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7C58FFB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0DA2D20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48212A3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42F4605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2EB184EF">
            <w:pPr>
              <w:keepLines/>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0C02685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7F5A0A7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1.文档处理</w:t>
            </w:r>
          </w:p>
          <w:p w14:paraId="59BD7CD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11989BF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18D7623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2.电子表格处理</w:t>
            </w:r>
          </w:p>
          <w:p w14:paraId="302D891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530DCB1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0CEC75B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3.演示文稿制作</w:t>
            </w:r>
          </w:p>
          <w:p w14:paraId="1B2B013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40EB2E4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69AA6E2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4.信息检索</w:t>
            </w:r>
          </w:p>
          <w:p w14:paraId="4D41ACE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7E635EA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2A0DE70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5.新一代信息技术概述</w:t>
            </w:r>
          </w:p>
          <w:p w14:paraId="2DDBEC1F">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5718028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4637B719">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6.信息素养与社会责任</w:t>
            </w:r>
          </w:p>
          <w:p w14:paraId="4D90B00C">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6C19F6D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685BAC7C">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（1）教学模式</w:t>
            </w:r>
          </w:p>
          <w:p w14:paraId="225F4EDF">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03E19F1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7E61CD0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（2）教学条件</w:t>
            </w:r>
          </w:p>
          <w:p w14:paraId="4DD7FE2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5B6B258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110431E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（3）教学方法</w:t>
            </w:r>
          </w:p>
          <w:p w14:paraId="1296D5F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4FE5397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0A76134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（4）教师要求</w:t>
            </w:r>
          </w:p>
          <w:p w14:paraId="4708B16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24B0445F">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6CD28C8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（5）考核方式</w:t>
            </w:r>
          </w:p>
          <w:p w14:paraId="2E7D1FB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5415B36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终结性考核（50%）：</w:t>
            </w:r>
          </w:p>
          <w:p w14:paraId="0F31BC6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492D7914">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1CA3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9522BC8">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5B959ED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7B62CBF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5DBA501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4204DBE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30E57B8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059B486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1F1D90F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02552EF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3B8C7D3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495BBC8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5B0CBC6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6AD739D3">
            <w:pPr>
              <w:keepLines/>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48E6C65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0B327B7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1.基础理论</w:t>
            </w:r>
          </w:p>
          <w:p w14:paraId="27B938E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人工智能概述：概念、历史、研究领域与伦理。</w:t>
            </w:r>
          </w:p>
          <w:p w14:paraId="5B8174C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4A5E590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10E33B9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2.技术方法</w:t>
            </w:r>
          </w:p>
          <w:p w14:paraId="5E1AB36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4C24F57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3EBB57F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44709AC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3.应用实践</w:t>
            </w:r>
          </w:p>
          <w:p w14:paraId="6C5AED1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0C2D611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704C0F3B">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242024D9">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62E5E4B8">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15960A8B">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138C7321">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2066D8CD">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7E50C21D">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0D5FCBA7">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67E53788">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08BAF157">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0A0FCE3F">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164D8C02">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00A2053C">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4C17E79C">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17F1BB9D">
            <w:pPr>
              <w:pStyle w:val="6"/>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2FB2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065BB78">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70E4F38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469D68E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4C16742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74BC835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023F3B81">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4CB46FB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59AD8DEF">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136C1F89">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186F4FFA">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3C6D47C7">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44D3DFD5">
            <w:pPr>
              <w:pStyle w:val="7"/>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22F16479">
            <w:pPr>
              <w:pStyle w:val="7"/>
              <w:keepLines/>
              <w:pageBreakBefore w:val="0"/>
              <w:kinsoku/>
              <w:wordWrap/>
              <w:overflowPunct/>
              <w:topLinePunct w:val="0"/>
              <w:bidi w:val="0"/>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07EC13E9">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6437D6C5">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1D01C93C">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6CD1968E">
            <w:pPr>
              <w:pStyle w:val="6"/>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0DF2D84B">
            <w:pPr>
              <w:pStyle w:val="6"/>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0418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D90555A">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1B32D4B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4B64FD0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14B8B38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10A30C20">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094875C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796C3AF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65CC93EE">
            <w:pPr>
              <w:keepLines/>
              <w:pageBreakBefore w:val="0"/>
              <w:widowControl/>
              <w:kinsoku/>
              <w:wordWrap/>
              <w:overflowPunct/>
              <w:topLinePunct w:val="0"/>
              <w:bidi w:val="0"/>
              <w:adjustRightInd w:val="0"/>
              <w:snapToGrid w:val="0"/>
              <w:spacing w:line="360" w:lineRule="exact"/>
              <w:rPr>
                <w:rFonts w:ascii="宋体" w:hAnsi="宋体" w:cs="宋体"/>
                <w:bCs/>
                <w:sz w:val="18"/>
                <w:szCs w:val="18"/>
              </w:rPr>
            </w:pPr>
          </w:p>
        </w:tc>
        <w:tc>
          <w:tcPr>
            <w:tcW w:w="2778" w:type="dxa"/>
          </w:tcPr>
          <w:p w14:paraId="3CD2970A">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6ED0AB00">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723918D5">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4BA38D8F">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7D4E161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3DD96893">
            <w:pPr>
              <w:keepLines/>
              <w:pageBreakBefore w:val="0"/>
              <w:widowControl/>
              <w:kinsoku/>
              <w:wordWrap/>
              <w:overflowPunct/>
              <w:topLinePunct w:val="0"/>
              <w:bidi w:val="0"/>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60A9AA8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4AF4B91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567307A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1C01A29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3CB6522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37C65ED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488409D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050934C8">
      <w:pPr>
        <w:pageBreakBefore w:val="0"/>
        <w:kinsoku/>
        <w:wordWrap/>
        <w:overflowPunct/>
        <w:topLinePunct w:val="0"/>
        <w:bidi w:val="0"/>
        <w:spacing w:line="360" w:lineRule="exact"/>
        <w:ind w:firstLine="422" w:firstLineChars="200"/>
        <w:rPr>
          <w:rFonts w:ascii="宋体" w:hAnsi="宋体" w:cs="宋体"/>
          <w:color w:val="FF0000"/>
          <w:szCs w:val="21"/>
        </w:rPr>
      </w:pPr>
      <w:r>
        <w:rPr>
          <w:rFonts w:hint="eastAsia" w:ascii="宋体" w:hAnsi="宋体" w:cs="宋体"/>
          <w:b/>
          <w:szCs w:val="21"/>
        </w:rPr>
        <w:t>（二）专业课程</w:t>
      </w:r>
    </w:p>
    <w:p w14:paraId="45798BF3">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2700"/>
        <w:gridCol w:w="2618"/>
        <w:gridCol w:w="2322"/>
      </w:tblGrid>
      <w:tr w14:paraId="4717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vAlign w:val="center"/>
          </w:tcPr>
          <w:p w14:paraId="69511D90">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700" w:type="dxa"/>
            <w:vAlign w:val="center"/>
          </w:tcPr>
          <w:p w14:paraId="2D0BF001">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618" w:type="dxa"/>
            <w:vAlign w:val="center"/>
          </w:tcPr>
          <w:p w14:paraId="1AF59E1D">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322" w:type="dxa"/>
            <w:vAlign w:val="center"/>
          </w:tcPr>
          <w:p w14:paraId="32EB5D3B">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22E4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shd w:val="clear" w:color="auto" w:fill="auto"/>
            <w:vAlign w:val="center"/>
          </w:tcPr>
          <w:p w14:paraId="53FA037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学前教育概论</w:t>
            </w:r>
          </w:p>
        </w:tc>
        <w:tc>
          <w:tcPr>
            <w:tcW w:w="2700" w:type="dxa"/>
            <w:shd w:val="clear" w:color="auto" w:fill="auto"/>
          </w:tcPr>
          <w:p w14:paraId="0EF09CD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1</w:t>
            </w:r>
            <w:r>
              <w:rPr>
                <w:rFonts w:hint="eastAsia" w:ascii="宋体" w:hAnsi="宋体" w:cs="宋体"/>
                <w:b/>
                <w:sz w:val="18"/>
                <w:szCs w:val="18"/>
              </w:rPr>
              <w:t>.知识目标</w:t>
            </w:r>
            <w:r>
              <w:rPr>
                <w:rFonts w:hint="eastAsia" w:ascii="宋体" w:hAnsi="宋体" w:cs="宋体"/>
                <w:sz w:val="18"/>
                <w:szCs w:val="18"/>
              </w:rPr>
              <w:t>：</w:t>
            </w:r>
          </w:p>
          <w:p w14:paraId="346C72E4">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（1）了解幼儿教育的基本概念、意义、任务与功能；</w:t>
            </w:r>
          </w:p>
          <w:p w14:paraId="23467CBB">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（2）了解幼儿教育发展的历史与现状；</w:t>
            </w:r>
          </w:p>
          <w:p w14:paraId="4C9CB09D">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（3）知晓各种幼儿教育理论流派的基本观点；</w:t>
            </w:r>
          </w:p>
          <w:p w14:paraId="68E6A62B">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（4）了解我国的教育目的与幼儿教育目标。</w:t>
            </w:r>
          </w:p>
          <w:p w14:paraId="207E4FB0">
            <w:pPr>
              <w:pageBreakBefore w:val="0"/>
              <w:kinsoku/>
              <w:wordWrap/>
              <w:overflowPunct/>
              <w:topLinePunct w:val="0"/>
              <w:bidi w:val="0"/>
              <w:spacing w:line="360" w:lineRule="exact"/>
              <w:jc w:val="left"/>
              <w:rPr>
                <w:rFonts w:ascii="宋体" w:hAnsi="宋体" w:cs="宋体"/>
                <w:b/>
                <w:sz w:val="18"/>
                <w:szCs w:val="18"/>
              </w:rPr>
            </w:pPr>
            <w:r>
              <w:rPr>
                <w:rFonts w:hint="eastAsia" w:ascii="宋体" w:hAnsi="宋体" w:cs="宋体"/>
                <w:b/>
                <w:sz w:val="18"/>
                <w:szCs w:val="18"/>
              </w:rPr>
              <w:t>2.能力目标：</w:t>
            </w:r>
          </w:p>
          <w:p w14:paraId="5D19228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（1）掌握体、智、德、美各域的概念、目标和任务、内容和实施；</w:t>
            </w:r>
          </w:p>
          <w:p w14:paraId="32A5E229">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（2）掌握与家长沟通合作的基本原则与方法；</w:t>
            </w:r>
          </w:p>
          <w:p w14:paraId="3F82ED3A">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（3）掌握幼儿园与家庭相互配合的意义和内容以及幼儿教师的职责和应具备的素质。</w:t>
            </w:r>
          </w:p>
          <w:p w14:paraId="71BD8246">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3.素质目标</w:t>
            </w:r>
            <w:r>
              <w:rPr>
                <w:rFonts w:hint="eastAsia" w:ascii="宋体" w:hAnsi="宋体" w:cs="宋体"/>
                <w:sz w:val="18"/>
                <w:szCs w:val="18"/>
              </w:rPr>
              <w:t>：</w:t>
            </w:r>
          </w:p>
          <w:p w14:paraId="65B22277">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（1）养成正确的儿童观与幼儿教育观；</w:t>
            </w:r>
          </w:p>
          <w:p w14:paraId="675370AA">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（2）树立幼儿教育工作者的专业意识；</w:t>
            </w:r>
          </w:p>
          <w:p w14:paraId="7E621D70">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（3）了解幼儿教育工作者的基本职责。</w:t>
            </w:r>
          </w:p>
        </w:tc>
        <w:tc>
          <w:tcPr>
            <w:tcW w:w="2618" w:type="dxa"/>
            <w:shd w:val="clear" w:color="auto" w:fill="auto"/>
          </w:tcPr>
          <w:p w14:paraId="3D042F3E">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模块一</w:t>
            </w:r>
            <w:r>
              <w:rPr>
                <w:rFonts w:hint="eastAsia" w:ascii="宋体" w:hAnsi="宋体" w:cs="宋体"/>
                <w:sz w:val="18"/>
                <w:szCs w:val="18"/>
              </w:rPr>
              <w:t>：幼儿教育学概论</w:t>
            </w:r>
          </w:p>
          <w:p w14:paraId="445C8F08">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模块二</w:t>
            </w:r>
            <w:r>
              <w:rPr>
                <w:rFonts w:hint="eastAsia" w:ascii="宋体" w:hAnsi="宋体" w:cs="宋体"/>
                <w:sz w:val="18"/>
                <w:szCs w:val="18"/>
              </w:rPr>
              <w:t>：幼儿园教育的目标任务及原则</w:t>
            </w:r>
          </w:p>
          <w:p w14:paraId="66D95767">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模块三</w:t>
            </w:r>
            <w:r>
              <w:rPr>
                <w:rFonts w:hint="eastAsia" w:ascii="宋体" w:hAnsi="宋体" w:cs="宋体"/>
                <w:sz w:val="18"/>
                <w:szCs w:val="18"/>
              </w:rPr>
              <w:t>：幼儿的德智体美全面发展教育</w:t>
            </w:r>
          </w:p>
          <w:p w14:paraId="38ED471C">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模块四</w:t>
            </w:r>
            <w:r>
              <w:rPr>
                <w:rFonts w:hint="eastAsia" w:ascii="宋体" w:hAnsi="宋体" w:cs="宋体"/>
                <w:sz w:val="18"/>
                <w:szCs w:val="18"/>
              </w:rPr>
              <w:t>：幼儿园的基本构成要素</w:t>
            </w:r>
          </w:p>
          <w:p w14:paraId="61A6BA9C">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模块五</w:t>
            </w:r>
            <w:r>
              <w:rPr>
                <w:rFonts w:hint="eastAsia" w:ascii="宋体" w:hAnsi="宋体" w:cs="宋体"/>
                <w:sz w:val="18"/>
                <w:szCs w:val="18"/>
              </w:rPr>
              <w:t>：幼儿园的教学、游戏、日常生活等活动</w:t>
            </w:r>
          </w:p>
          <w:p w14:paraId="78F580F9">
            <w:pPr>
              <w:pageBreakBefore w:val="0"/>
              <w:kinsoku/>
              <w:wordWrap/>
              <w:overflowPunct/>
              <w:topLinePunct w:val="0"/>
              <w:bidi w:val="0"/>
              <w:spacing w:line="360" w:lineRule="exact"/>
              <w:jc w:val="left"/>
              <w:rPr>
                <w:rFonts w:ascii="宋体" w:hAnsi="宋体" w:cs="宋体"/>
                <w:sz w:val="18"/>
                <w:szCs w:val="18"/>
              </w:rPr>
            </w:pPr>
          </w:p>
        </w:tc>
        <w:tc>
          <w:tcPr>
            <w:tcW w:w="2322" w:type="dxa"/>
            <w:shd w:val="clear" w:color="auto" w:fill="auto"/>
          </w:tcPr>
          <w:p w14:paraId="7108E967">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教学模式</w:t>
            </w:r>
            <w:r>
              <w:rPr>
                <w:rFonts w:hint="eastAsia" w:ascii="宋体" w:hAnsi="宋体" w:cs="宋体"/>
                <w:sz w:val="18"/>
                <w:szCs w:val="18"/>
              </w:rPr>
              <w:t>：理论课教学基于“以学生为中心”的教学理念，采取“导新课－学新知－品案例－思问题－拓知识”五位一体的教学模式，将授课内容与学生兴趣相结合，达到良好的教学效果。</w:t>
            </w:r>
          </w:p>
          <w:p w14:paraId="7CDD44DF">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教学方法</w:t>
            </w:r>
            <w:r>
              <w:rPr>
                <w:rFonts w:hint="eastAsia" w:ascii="宋体" w:hAnsi="宋体" w:cs="宋体"/>
                <w:sz w:val="18"/>
                <w:szCs w:val="18"/>
              </w:rPr>
              <w:t>：采用讲解法、讨论法、实例分析法、课堂互动法等。</w:t>
            </w:r>
          </w:p>
          <w:p w14:paraId="55A67B53">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教学条件：依托多媒体教室和智慧校园平台开展教学。</w:t>
            </w:r>
          </w:p>
          <w:p w14:paraId="4E164F4C">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b/>
                <w:sz w:val="18"/>
                <w:szCs w:val="18"/>
              </w:rPr>
              <w:t>评价建议</w:t>
            </w:r>
            <w:r>
              <w:rPr>
                <w:rFonts w:hint="eastAsia" w:ascii="宋体" w:hAnsi="宋体" w:cs="宋体"/>
                <w:sz w:val="18"/>
                <w:szCs w:val="18"/>
              </w:rPr>
              <w:t>：由教师根据学生的课堂表现、课堂互动和考勤情况综合评定，占期末总成绩的30%；期末成绩占总成绩的70%。</w:t>
            </w:r>
          </w:p>
        </w:tc>
      </w:tr>
      <w:tr w14:paraId="41F7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shd w:val="clear" w:color="auto" w:fill="auto"/>
            <w:vAlign w:val="center"/>
          </w:tcPr>
          <w:p w14:paraId="52FB6EE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学前儿童心理发展</w:t>
            </w:r>
          </w:p>
        </w:tc>
        <w:tc>
          <w:tcPr>
            <w:tcW w:w="2700" w:type="dxa"/>
            <w:shd w:val="clear" w:color="auto" w:fill="auto"/>
          </w:tcPr>
          <w:p w14:paraId="7A3FEDD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1.知识目标</w:t>
            </w:r>
            <w:r>
              <w:rPr>
                <w:rFonts w:hint="eastAsia" w:ascii="宋体" w:hAnsi="宋体" w:cs="宋体"/>
                <w:bCs/>
                <w:sz w:val="18"/>
                <w:szCs w:val="18"/>
              </w:rPr>
              <w:t>：</w:t>
            </w:r>
          </w:p>
          <w:p w14:paraId="7AA3052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掌握儿童心理发展的基本理论，个体心理发展的一般规律，个体心理发展的具体规律。</w:t>
            </w:r>
          </w:p>
          <w:p w14:paraId="7655D2B2">
            <w:pPr>
              <w:pStyle w:val="20"/>
              <w:pageBreakBefore w:val="0"/>
              <w:kinsoku/>
              <w:wordWrap/>
              <w:overflowPunct/>
              <w:topLinePunct w:val="0"/>
              <w:bidi w:val="0"/>
              <w:spacing w:line="360" w:lineRule="exact"/>
              <w:ind w:firstLine="0" w:firstLineChars="0"/>
              <w:jc w:val="both"/>
              <w:rPr>
                <w:bCs/>
                <w:kern w:val="2"/>
                <w:sz w:val="18"/>
                <w:szCs w:val="18"/>
              </w:rPr>
            </w:pPr>
            <w:r>
              <w:rPr>
                <w:rFonts w:hint="eastAsia"/>
                <w:b/>
                <w:kern w:val="2"/>
                <w:sz w:val="18"/>
                <w:szCs w:val="18"/>
              </w:rPr>
              <w:t>2.能力目标</w:t>
            </w:r>
            <w:r>
              <w:rPr>
                <w:rFonts w:hint="eastAsia"/>
                <w:bCs/>
                <w:kern w:val="2"/>
                <w:sz w:val="18"/>
                <w:szCs w:val="18"/>
              </w:rPr>
              <w:t>：</w:t>
            </w:r>
          </w:p>
          <w:p w14:paraId="32F8CC4C">
            <w:pPr>
              <w:pStyle w:val="20"/>
              <w:pageBreakBefore w:val="0"/>
              <w:kinsoku/>
              <w:wordWrap/>
              <w:overflowPunct/>
              <w:topLinePunct w:val="0"/>
              <w:bidi w:val="0"/>
              <w:spacing w:line="360" w:lineRule="exact"/>
              <w:ind w:firstLine="0" w:firstLineChars="0"/>
              <w:jc w:val="both"/>
              <w:rPr>
                <w:bCs/>
                <w:kern w:val="2"/>
                <w:sz w:val="18"/>
                <w:szCs w:val="18"/>
              </w:rPr>
            </w:pPr>
            <w:r>
              <w:rPr>
                <w:rFonts w:hint="eastAsia"/>
                <w:bCs/>
                <w:kern w:val="2"/>
                <w:sz w:val="18"/>
                <w:szCs w:val="18"/>
              </w:rPr>
              <w:t>具有理论引领实践，让学生在紧密联系学前儿童心理活动和学前儿童教育活动的实际中去学习，从而培养起学生运用学前儿童心理发展的理论和知识解决教育教学实际问题的职业能力。</w:t>
            </w:r>
          </w:p>
          <w:p w14:paraId="44E9DE0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3.素质目标</w:t>
            </w:r>
            <w:r>
              <w:rPr>
                <w:rFonts w:hint="eastAsia" w:ascii="宋体" w:hAnsi="宋体" w:cs="宋体"/>
                <w:bCs/>
                <w:sz w:val="18"/>
                <w:szCs w:val="18"/>
              </w:rPr>
              <w:t>：</w:t>
            </w:r>
          </w:p>
          <w:p w14:paraId="393C3CB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养成正确的儿童观与幼儿教育观；树立幼儿教育工作者的专业意识；了解幼儿教育工作者的基本职责。</w:t>
            </w:r>
          </w:p>
          <w:p w14:paraId="286C1998">
            <w:pPr>
              <w:pStyle w:val="20"/>
              <w:pageBreakBefore w:val="0"/>
              <w:kinsoku/>
              <w:wordWrap/>
              <w:overflowPunct/>
              <w:topLinePunct w:val="0"/>
              <w:bidi w:val="0"/>
              <w:spacing w:line="360" w:lineRule="exact"/>
              <w:ind w:firstLine="0" w:firstLineChars="0"/>
              <w:jc w:val="both"/>
              <w:rPr>
                <w:bCs/>
                <w:kern w:val="2"/>
                <w:sz w:val="18"/>
                <w:szCs w:val="18"/>
              </w:rPr>
            </w:pPr>
          </w:p>
        </w:tc>
        <w:tc>
          <w:tcPr>
            <w:tcW w:w="2618" w:type="dxa"/>
            <w:shd w:val="clear" w:color="auto" w:fill="auto"/>
          </w:tcPr>
          <w:p w14:paraId="6F03882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模块一</w:t>
            </w:r>
            <w:r>
              <w:rPr>
                <w:rFonts w:hint="eastAsia" w:ascii="宋体" w:hAnsi="宋体" w:cs="宋体"/>
                <w:bCs/>
                <w:sz w:val="18"/>
                <w:szCs w:val="18"/>
              </w:rPr>
              <w:t>：幼儿心理的发生和发展规律</w:t>
            </w:r>
          </w:p>
          <w:p w14:paraId="489DC3B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模块二</w:t>
            </w:r>
            <w:r>
              <w:rPr>
                <w:rFonts w:hint="eastAsia" w:ascii="宋体" w:hAnsi="宋体" w:cs="宋体"/>
                <w:bCs/>
                <w:sz w:val="18"/>
                <w:szCs w:val="18"/>
              </w:rPr>
              <w:t>：幼儿心理发展的基本理论及具有代表性的理论派别</w:t>
            </w:r>
          </w:p>
          <w:p w14:paraId="3843839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模块三</w:t>
            </w:r>
            <w:r>
              <w:rPr>
                <w:rFonts w:hint="eastAsia" w:ascii="宋体" w:hAnsi="宋体" w:cs="宋体"/>
                <w:bCs/>
                <w:sz w:val="18"/>
                <w:szCs w:val="18"/>
              </w:rPr>
              <w:t>：从认知、情感和行为上探讨幼儿心理发展过程中的基本规律</w:t>
            </w:r>
          </w:p>
          <w:p w14:paraId="6A1C0C3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模块四</w:t>
            </w:r>
            <w:r>
              <w:rPr>
                <w:rFonts w:hint="eastAsia" w:ascii="宋体" w:hAnsi="宋体" w:cs="宋体"/>
                <w:bCs/>
                <w:sz w:val="18"/>
                <w:szCs w:val="18"/>
              </w:rPr>
              <w:t>：从个性心理倾向性和个性心理特征的角度分析气质、性格、能力等个性及社会性的发展</w:t>
            </w:r>
          </w:p>
          <w:p w14:paraId="68CA8FD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模块五</w:t>
            </w:r>
            <w:r>
              <w:rPr>
                <w:rFonts w:hint="eastAsia" w:ascii="宋体" w:hAnsi="宋体" w:cs="宋体"/>
                <w:bCs/>
                <w:sz w:val="18"/>
                <w:szCs w:val="18"/>
              </w:rPr>
              <w:t>：幼儿心理健康发展的概述</w:t>
            </w:r>
          </w:p>
          <w:p w14:paraId="71708522">
            <w:pPr>
              <w:pageBreakBefore w:val="0"/>
              <w:kinsoku/>
              <w:wordWrap/>
              <w:overflowPunct/>
              <w:topLinePunct w:val="0"/>
              <w:bidi w:val="0"/>
              <w:spacing w:line="360" w:lineRule="exact"/>
              <w:rPr>
                <w:rFonts w:ascii="宋体" w:hAnsi="宋体" w:cs="宋体"/>
                <w:bCs/>
                <w:sz w:val="18"/>
                <w:szCs w:val="18"/>
              </w:rPr>
            </w:pPr>
          </w:p>
        </w:tc>
        <w:tc>
          <w:tcPr>
            <w:tcW w:w="2322" w:type="dxa"/>
            <w:shd w:val="clear" w:color="auto" w:fill="auto"/>
          </w:tcPr>
          <w:p w14:paraId="7C8FA59F">
            <w:pPr>
              <w:pStyle w:val="6"/>
              <w:keepNext w:val="0"/>
              <w:keepLines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color w:val="auto"/>
                <w:sz w:val="18"/>
                <w:szCs w:val="18"/>
              </w:rPr>
              <w:t>教学模式</w:t>
            </w:r>
            <w:r>
              <w:rPr>
                <w:rFonts w:hint="eastAsia" w:ascii="宋体" w:hAnsi="宋体" w:cs="宋体"/>
                <w:b w:val="0"/>
                <w:bCs/>
                <w:color w:val="auto"/>
                <w:sz w:val="18"/>
                <w:szCs w:val="18"/>
              </w:rPr>
              <w:t>：理论课教学基于“以学生为中心”的教学理念，采取“导新课－学新知－品案例－思问题－拓知识”五位一体的教学模式，将授课内容与学生兴趣相结合，达到良好的教学效果。</w:t>
            </w:r>
          </w:p>
          <w:p w14:paraId="6E2AC8E4">
            <w:pPr>
              <w:pageBreakBefore w:val="0"/>
              <w:widowControl/>
              <w:kinsoku/>
              <w:wordWrap/>
              <w:overflowPunct/>
              <w:topLinePunct w:val="0"/>
              <w:bidi w:val="0"/>
              <w:spacing w:line="360" w:lineRule="exact"/>
              <w:jc w:val="left"/>
              <w:rPr>
                <w:rFonts w:ascii="宋体" w:hAnsi="宋体" w:cs="宋体"/>
                <w:bCs/>
                <w:sz w:val="18"/>
                <w:szCs w:val="18"/>
              </w:rPr>
            </w:pPr>
            <w:r>
              <w:rPr>
                <w:rFonts w:hint="eastAsia" w:ascii="宋体" w:hAnsi="宋体" w:cs="宋体"/>
                <w:b/>
                <w:sz w:val="18"/>
                <w:szCs w:val="18"/>
              </w:rPr>
              <w:t>教学方法</w:t>
            </w:r>
            <w:r>
              <w:rPr>
                <w:rFonts w:hint="eastAsia" w:ascii="宋体" w:hAnsi="宋体" w:cs="宋体"/>
                <w:bCs/>
                <w:sz w:val="18"/>
                <w:szCs w:val="18"/>
              </w:rPr>
              <w:t>：采用讲解法、讨论法、实例分析法、课堂互动法等。</w:t>
            </w:r>
          </w:p>
          <w:p w14:paraId="24A0E0E8">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4065E84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评价建议</w:t>
            </w:r>
            <w:r>
              <w:rPr>
                <w:rFonts w:hint="eastAsia" w:ascii="宋体" w:hAnsi="宋体" w:cs="宋体"/>
                <w:bCs/>
                <w:sz w:val="18"/>
                <w:szCs w:val="18"/>
              </w:rPr>
              <w:t>：由教师根据学生的课堂表现、课堂互动和考勤情况综合评定，占期末总成绩的30%；期末成绩占总成绩的70%。</w:t>
            </w:r>
          </w:p>
        </w:tc>
      </w:tr>
      <w:tr w14:paraId="126E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shd w:val="clear" w:color="auto" w:fill="auto"/>
            <w:vAlign w:val="center"/>
          </w:tcPr>
          <w:p w14:paraId="385F8FB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学前儿童卫生与保健</w:t>
            </w:r>
          </w:p>
        </w:tc>
        <w:tc>
          <w:tcPr>
            <w:tcW w:w="2700" w:type="dxa"/>
            <w:shd w:val="clear" w:color="auto" w:fill="auto"/>
          </w:tcPr>
          <w:p w14:paraId="656133F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1.知识目标</w:t>
            </w:r>
            <w:r>
              <w:rPr>
                <w:rFonts w:hint="eastAsia" w:ascii="宋体" w:hAnsi="宋体" w:cs="宋体"/>
                <w:bCs/>
                <w:sz w:val="18"/>
                <w:szCs w:val="18"/>
              </w:rPr>
              <w:t>：</w:t>
            </w:r>
          </w:p>
          <w:p w14:paraId="6C14CB1E">
            <w:pPr>
              <w:pageBreakBefore w:val="0"/>
              <w:kinsoku/>
              <w:wordWrap/>
              <w:overflowPunct/>
              <w:topLinePunct w:val="0"/>
              <w:bidi w:val="0"/>
              <w:spacing w:line="360" w:lineRule="exact"/>
              <w:rPr>
                <w:rFonts w:ascii="宋体" w:hAnsi="宋体" w:cs="宋体"/>
                <w:sz w:val="18"/>
                <w:szCs w:val="18"/>
                <w:shd w:val="clear" w:color="auto" w:fill="FFFFFF"/>
              </w:rPr>
            </w:pPr>
            <w:r>
              <w:rPr>
                <w:rFonts w:hint="eastAsia" w:ascii="宋体" w:hAnsi="宋体" w:cs="宋体"/>
                <w:sz w:val="18"/>
                <w:szCs w:val="18"/>
                <w:shd w:val="clear" w:color="auto" w:fill="FFFFFF"/>
              </w:rPr>
              <w:t>（1）帮助学生全面掌握学前儿童解剖生理特点以及身体发展的规律，系统了解学前儿童常见心理卫生问题及教育对策，掌握营养学基础知识；</w:t>
            </w:r>
          </w:p>
          <w:p w14:paraId="75B6524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shd w:val="clear" w:color="auto" w:fill="FFFFFF"/>
              </w:rPr>
              <w:t>（2）了解托幼机构的膳食管理，熟悉教育环境创设及教育过程中的卫生要求，了解学前儿童常见疾病的有关知识及基本急救措施等。</w:t>
            </w:r>
          </w:p>
          <w:p w14:paraId="1A92BA0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2.能力目标</w:t>
            </w:r>
            <w:r>
              <w:rPr>
                <w:rFonts w:hint="eastAsia" w:ascii="宋体" w:hAnsi="宋体" w:cs="宋体"/>
                <w:bCs/>
                <w:sz w:val="18"/>
                <w:szCs w:val="18"/>
              </w:rPr>
              <w:t>：</w:t>
            </w:r>
          </w:p>
          <w:p w14:paraId="1FEFCFDE">
            <w:pPr>
              <w:pageBreakBefore w:val="0"/>
              <w:kinsoku/>
              <w:wordWrap/>
              <w:overflowPunct/>
              <w:topLinePunct w:val="0"/>
              <w:bidi w:val="0"/>
              <w:spacing w:line="360" w:lineRule="exact"/>
              <w:rPr>
                <w:rFonts w:ascii="宋体" w:hAnsi="宋体" w:cs="宋体"/>
                <w:sz w:val="18"/>
                <w:szCs w:val="18"/>
                <w:shd w:val="clear" w:color="auto" w:fill="FFFFFF"/>
              </w:rPr>
            </w:pPr>
            <w:r>
              <w:rPr>
                <w:rFonts w:hint="eastAsia" w:ascii="宋体" w:hAnsi="宋体" w:cs="宋体"/>
                <w:sz w:val="18"/>
                <w:szCs w:val="18"/>
                <w:shd w:val="clear" w:color="auto" w:fill="FFFFFF"/>
              </w:rPr>
              <w:t>帮助学生具有从事学前儿童卫生保健实践活动的技术和能力。使其能够运用所学到的理论和原理知识分析和解决学前儿童卫生保健实践中存在的各类实际问题，促进学生职业能力和职业素养的养成。</w:t>
            </w:r>
          </w:p>
          <w:p w14:paraId="455BAF6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3.素质目标</w:t>
            </w:r>
            <w:r>
              <w:rPr>
                <w:rFonts w:hint="eastAsia" w:ascii="宋体" w:hAnsi="宋体" w:cs="宋体"/>
                <w:bCs/>
                <w:sz w:val="18"/>
                <w:szCs w:val="18"/>
              </w:rPr>
              <w:t>：</w:t>
            </w:r>
          </w:p>
          <w:p w14:paraId="3DF0BBB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shd w:val="clear" w:color="auto" w:fill="FFFFFF"/>
              </w:rPr>
              <w:t>帮助学生科学的健康观，提高对学前儿童卫生保健问题的思想认识，关注学前儿童良好卫生习惯的养成，提高对学前儿童安全保护的重视程度，养成按照保育要求认真工作的态度。</w:t>
            </w:r>
          </w:p>
        </w:tc>
        <w:tc>
          <w:tcPr>
            <w:tcW w:w="2618" w:type="dxa"/>
            <w:shd w:val="clear" w:color="auto" w:fill="auto"/>
          </w:tcPr>
          <w:p w14:paraId="485FFAF0">
            <w:pPr>
              <w:pageBreakBefore w:val="0"/>
              <w:kinsoku/>
              <w:wordWrap/>
              <w:overflowPunct/>
              <w:topLinePunct w:val="0"/>
              <w:bidi w:val="0"/>
              <w:spacing w:line="360" w:lineRule="exact"/>
              <w:rPr>
                <w:rFonts w:ascii="宋体" w:hAnsi="宋体" w:cs="宋体"/>
                <w:sz w:val="18"/>
                <w:szCs w:val="18"/>
              </w:rPr>
            </w:pPr>
            <w:r>
              <w:rPr>
                <w:rFonts w:hint="eastAsia" w:ascii="宋体" w:hAnsi="宋体" w:cs="宋体"/>
                <w:b/>
                <w:sz w:val="18"/>
                <w:szCs w:val="18"/>
              </w:rPr>
              <w:t>模块一</w:t>
            </w:r>
            <w:r>
              <w:rPr>
                <w:rFonts w:hint="eastAsia" w:ascii="宋体" w:hAnsi="宋体" w:cs="宋体"/>
                <w:bCs/>
                <w:sz w:val="18"/>
                <w:szCs w:val="18"/>
              </w:rPr>
              <w:t>：</w:t>
            </w:r>
            <w:r>
              <w:rPr>
                <w:rFonts w:hint="eastAsia" w:ascii="宋体" w:hAnsi="宋体" w:cs="宋体"/>
                <w:sz w:val="18"/>
                <w:szCs w:val="18"/>
              </w:rPr>
              <w:t>幼儿的生理解剖特点和生长发育规律</w:t>
            </w:r>
          </w:p>
          <w:p w14:paraId="498E679D">
            <w:pPr>
              <w:pageBreakBefore w:val="0"/>
              <w:kinsoku/>
              <w:wordWrap/>
              <w:overflowPunct/>
              <w:topLinePunct w:val="0"/>
              <w:bidi w:val="0"/>
              <w:spacing w:line="360" w:lineRule="exact"/>
              <w:rPr>
                <w:rFonts w:ascii="宋体" w:hAnsi="宋体" w:cs="宋体"/>
                <w:sz w:val="18"/>
                <w:szCs w:val="18"/>
              </w:rPr>
            </w:pPr>
            <w:r>
              <w:rPr>
                <w:rFonts w:hint="eastAsia" w:ascii="宋体" w:hAnsi="宋体" w:cs="宋体"/>
                <w:b/>
                <w:sz w:val="18"/>
                <w:szCs w:val="18"/>
              </w:rPr>
              <w:t>模块二</w:t>
            </w:r>
            <w:r>
              <w:rPr>
                <w:rFonts w:hint="eastAsia" w:ascii="宋体" w:hAnsi="宋体" w:cs="宋体"/>
                <w:bCs/>
                <w:sz w:val="18"/>
                <w:szCs w:val="18"/>
              </w:rPr>
              <w:t>：</w:t>
            </w:r>
            <w:r>
              <w:rPr>
                <w:rFonts w:hint="eastAsia" w:ascii="宋体" w:hAnsi="宋体" w:cs="宋体"/>
                <w:sz w:val="18"/>
                <w:szCs w:val="18"/>
              </w:rPr>
              <w:t>幼儿膳食与营养</w:t>
            </w:r>
          </w:p>
          <w:p w14:paraId="14C4B189">
            <w:pPr>
              <w:pageBreakBefore w:val="0"/>
              <w:kinsoku/>
              <w:wordWrap/>
              <w:overflowPunct/>
              <w:topLinePunct w:val="0"/>
              <w:bidi w:val="0"/>
              <w:spacing w:line="360" w:lineRule="exact"/>
              <w:rPr>
                <w:rFonts w:ascii="宋体" w:hAnsi="宋体" w:cs="宋体"/>
                <w:sz w:val="18"/>
                <w:szCs w:val="18"/>
              </w:rPr>
            </w:pPr>
            <w:r>
              <w:rPr>
                <w:rFonts w:hint="eastAsia" w:ascii="宋体" w:hAnsi="宋体" w:cs="宋体"/>
                <w:b/>
                <w:sz w:val="18"/>
                <w:szCs w:val="18"/>
              </w:rPr>
              <w:t>模块三</w:t>
            </w:r>
            <w:r>
              <w:rPr>
                <w:rFonts w:hint="eastAsia" w:ascii="宋体" w:hAnsi="宋体" w:cs="宋体"/>
                <w:bCs/>
                <w:sz w:val="18"/>
                <w:szCs w:val="18"/>
              </w:rPr>
              <w:t>：</w:t>
            </w:r>
            <w:r>
              <w:rPr>
                <w:rFonts w:hint="eastAsia" w:ascii="宋体" w:hAnsi="宋体" w:cs="宋体"/>
                <w:sz w:val="18"/>
                <w:szCs w:val="18"/>
              </w:rPr>
              <w:t>一日生活环节卫生保健</w:t>
            </w:r>
          </w:p>
          <w:p w14:paraId="1625AE50">
            <w:pPr>
              <w:pageBreakBefore w:val="0"/>
              <w:kinsoku/>
              <w:wordWrap/>
              <w:overflowPunct/>
              <w:topLinePunct w:val="0"/>
              <w:bidi w:val="0"/>
              <w:spacing w:line="360" w:lineRule="exact"/>
              <w:rPr>
                <w:rFonts w:ascii="宋体" w:hAnsi="宋体" w:cs="宋体"/>
                <w:sz w:val="18"/>
                <w:szCs w:val="18"/>
              </w:rPr>
            </w:pPr>
            <w:r>
              <w:rPr>
                <w:rFonts w:hint="eastAsia" w:ascii="宋体" w:hAnsi="宋体" w:cs="宋体"/>
                <w:b/>
                <w:sz w:val="18"/>
                <w:szCs w:val="18"/>
              </w:rPr>
              <w:t>模块四</w:t>
            </w:r>
            <w:r>
              <w:rPr>
                <w:rFonts w:hint="eastAsia" w:ascii="宋体" w:hAnsi="宋体" w:cs="宋体"/>
                <w:bCs/>
                <w:sz w:val="18"/>
                <w:szCs w:val="18"/>
              </w:rPr>
              <w:t>：</w:t>
            </w:r>
            <w:r>
              <w:rPr>
                <w:rFonts w:hint="eastAsia" w:ascii="宋体" w:hAnsi="宋体" w:cs="宋体"/>
                <w:sz w:val="18"/>
                <w:szCs w:val="18"/>
              </w:rPr>
              <w:t>幼儿传染病的预防</w:t>
            </w:r>
          </w:p>
          <w:p w14:paraId="5EC61426">
            <w:pPr>
              <w:pageBreakBefore w:val="0"/>
              <w:kinsoku/>
              <w:wordWrap/>
              <w:overflowPunct/>
              <w:topLinePunct w:val="0"/>
              <w:bidi w:val="0"/>
              <w:spacing w:line="360" w:lineRule="exact"/>
              <w:rPr>
                <w:rFonts w:ascii="宋体" w:hAnsi="宋体" w:cs="宋体"/>
                <w:sz w:val="18"/>
                <w:szCs w:val="18"/>
              </w:rPr>
            </w:pPr>
            <w:r>
              <w:rPr>
                <w:rFonts w:hint="eastAsia" w:ascii="宋体" w:hAnsi="宋体" w:cs="宋体"/>
                <w:b/>
                <w:sz w:val="18"/>
                <w:szCs w:val="18"/>
              </w:rPr>
              <w:t>模块五</w:t>
            </w:r>
            <w:r>
              <w:rPr>
                <w:rFonts w:hint="eastAsia" w:ascii="宋体" w:hAnsi="宋体" w:cs="宋体"/>
                <w:bCs/>
                <w:sz w:val="18"/>
                <w:szCs w:val="18"/>
              </w:rPr>
              <w:t>：</w:t>
            </w:r>
            <w:r>
              <w:rPr>
                <w:rFonts w:hint="eastAsia" w:ascii="宋体" w:hAnsi="宋体" w:cs="宋体"/>
                <w:sz w:val="18"/>
                <w:szCs w:val="18"/>
              </w:rPr>
              <w:t>应对幼儿园的安全教育和意外伤害</w:t>
            </w:r>
          </w:p>
          <w:p w14:paraId="5E5E0A25">
            <w:pPr>
              <w:pageBreakBefore w:val="0"/>
              <w:kinsoku/>
              <w:wordWrap/>
              <w:overflowPunct/>
              <w:topLinePunct w:val="0"/>
              <w:bidi w:val="0"/>
              <w:spacing w:line="360" w:lineRule="exact"/>
              <w:rPr>
                <w:rFonts w:ascii="宋体" w:hAnsi="宋体" w:cs="宋体"/>
                <w:bCs/>
                <w:sz w:val="18"/>
                <w:szCs w:val="18"/>
              </w:rPr>
            </w:pPr>
          </w:p>
        </w:tc>
        <w:tc>
          <w:tcPr>
            <w:tcW w:w="2322" w:type="dxa"/>
            <w:shd w:val="clear" w:color="auto" w:fill="auto"/>
          </w:tcPr>
          <w:p w14:paraId="5A263138">
            <w:pPr>
              <w:pStyle w:val="6"/>
              <w:keepNext w:val="0"/>
              <w:keepLines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color w:val="auto"/>
                <w:sz w:val="18"/>
                <w:szCs w:val="18"/>
              </w:rPr>
              <w:t>教学模式</w:t>
            </w:r>
            <w:r>
              <w:rPr>
                <w:rFonts w:hint="eastAsia" w:ascii="宋体" w:hAnsi="宋体" w:cs="宋体"/>
                <w:b w:val="0"/>
                <w:bCs/>
                <w:color w:val="auto"/>
                <w:sz w:val="18"/>
                <w:szCs w:val="18"/>
              </w:rPr>
              <w:t>：理论课教学基于“以学生为中心”的教学理念，采取“导新课－学新知－品案例－思问题－拓知识”五位一体的教学模式，将授课内容与学生兴趣相结合，达到良好的教学效果。</w:t>
            </w:r>
          </w:p>
          <w:p w14:paraId="56690CE2">
            <w:pPr>
              <w:pageBreakBefore w:val="0"/>
              <w:widowControl/>
              <w:kinsoku/>
              <w:wordWrap/>
              <w:overflowPunct/>
              <w:topLinePunct w:val="0"/>
              <w:bidi w:val="0"/>
              <w:spacing w:line="360" w:lineRule="exact"/>
              <w:jc w:val="left"/>
              <w:rPr>
                <w:rFonts w:ascii="宋体" w:hAnsi="宋体" w:cs="宋体"/>
                <w:bCs/>
                <w:sz w:val="18"/>
                <w:szCs w:val="18"/>
              </w:rPr>
            </w:pPr>
            <w:r>
              <w:rPr>
                <w:rFonts w:hint="eastAsia" w:ascii="宋体" w:hAnsi="宋体" w:cs="宋体"/>
                <w:b/>
                <w:sz w:val="18"/>
                <w:szCs w:val="18"/>
              </w:rPr>
              <w:t>教学方法</w:t>
            </w:r>
            <w:r>
              <w:rPr>
                <w:rFonts w:hint="eastAsia" w:ascii="宋体" w:hAnsi="宋体" w:cs="宋体"/>
                <w:bCs/>
                <w:sz w:val="18"/>
                <w:szCs w:val="18"/>
              </w:rPr>
              <w:t>：采用讲解法、讨论法、实例分析法、课堂互动法等。</w:t>
            </w:r>
          </w:p>
          <w:p w14:paraId="029A045C">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1446BF7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评价建议</w:t>
            </w:r>
            <w:r>
              <w:rPr>
                <w:rFonts w:hint="eastAsia" w:ascii="宋体" w:hAnsi="宋体" w:cs="宋体"/>
                <w:bCs/>
                <w:sz w:val="18"/>
                <w:szCs w:val="18"/>
              </w:rPr>
              <w:t>：由教师根据学生的课堂表现、课堂互动和考勤情况综合评定，占期末总成绩的30%；期末成绩占总成绩的70%。</w:t>
            </w:r>
          </w:p>
        </w:tc>
      </w:tr>
      <w:tr w14:paraId="2928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shd w:val="clear" w:color="auto" w:fill="auto"/>
            <w:vAlign w:val="center"/>
          </w:tcPr>
          <w:p w14:paraId="2A229AF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幼儿绘画</w:t>
            </w:r>
          </w:p>
        </w:tc>
        <w:tc>
          <w:tcPr>
            <w:tcW w:w="2700" w:type="dxa"/>
            <w:shd w:val="clear" w:color="auto" w:fill="auto"/>
          </w:tcPr>
          <w:p w14:paraId="0B26203B">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26AF2A6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（1）了解绘画活动，培养幼儿细致观察周围事物的能力，学会捕捉事物的形状、颜色和细节。</w:t>
            </w:r>
          </w:p>
          <w:p w14:paraId="4F7062F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（2）鼓励幼儿在绘画中发挥想象，创造出独特的画面，培养创新思维。</w:t>
            </w:r>
          </w:p>
          <w:p w14:paraId="011AE2A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2.能力目标</w:t>
            </w:r>
            <w:r>
              <w:rPr>
                <w:rFonts w:hint="eastAsia" w:ascii="宋体" w:hAnsi="宋体" w:cs="宋体"/>
                <w:bCs/>
                <w:sz w:val="18"/>
                <w:szCs w:val="18"/>
              </w:rPr>
              <w:t>：</w:t>
            </w:r>
          </w:p>
          <w:p w14:paraId="7851750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（1）手眼协调：通过握笔、涂色等活动，提高幼儿的手部精细动作能力和手眼协调能力。</w:t>
            </w:r>
          </w:p>
          <w:p w14:paraId="5328B31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（2）绘画技巧：教授基本的绘画技巧，如线条的运用、颜色的混合等，打下良好的绘画基础。</w:t>
            </w:r>
          </w:p>
          <w:p w14:paraId="291D306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（3）创作能力：鼓励幼儿独立创作，从模仿到自主创作，逐步提升他们的艺术表现力。</w:t>
            </w:r>
          </w:p>
          <w:p w14:paraId="188B308B">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3594031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（1）自信心的建立：通过完成绘画作品，增强幼儿的自信心和成就感。</w:t>
            </w:r>
          </w:p>
          <w:p w14:paraId="1368150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（2）耐心与专注力：绘画过程中需要耐心和持续的专注，有助于培养这些重要的心理品质。</w:t>
            </w:r>
          </w:p>
          <w:p w14:paraId="4E06051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（3）文化素养：通过介绍不同文化和历史时期的艺术作品，拓宽幼儿的文化视野。</w:t>
            </w:r>
          </w:p>
          <w:p w14:paraId="1136179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实现这些目标需要教师和家长的共同努力，通过创设适宜的环境、提供多样化的材料和激发兴趣的活动，帮助幼儿在绘画中快乐成长。</w:t>
            </w:r>
          </w:p>
        </w:tc>
        <w:tc>
          <w:tcPr>
            <w:tcW w:w="2618" w:type="dxa"/>
            <w:shd w:val="clear" w:color="auto" w:fill="auto"/>
          </w:tcPr>
          <w:p w14:paraId="06088C2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基础绘画技能：教授幼儿基本的绘画元素，如线条、形状和色彩，以及这些元素如何组合来形成简单的图画。</w:t>
            </w:r>
          </w:p>
          <w:p w14:paraId="2FCA73D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创意绘画：通过游戏、故事等趣味性教学方法，培养幼儿的绘画兴趣和创造力，鼓励他们自由表达和尝试新的绘画技巧。</w:t>
            </w:r>
          </w:p>
          <w:p w14:paraId="6AF0A18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艺术欣赏：通过名画欣赏和艺术启蒙，提高幼儿的审美能力和艺术修养。</w:t>
            </w:r>
          </w:p>
          <w:p w14:paraId="74D7265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跨学科融合：将绘画与其他学科知识相结合，例如自然科学、数学和语言艺术，以增强幼儿的综合学习体验。</w:t>
            </w:r>
          </w:p>
          <w:p w14:paraId="7FFF95F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情感表达：绘画作为一种情感表达的工具，帮助幼儿表达内心的情感和感受，促进情感发展。</w:t>
            </w:r>
          </w:p>
          <w:p w14:paraId="0034AD4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观察力与表现力：通过绘画练习，培养幼儿的观察力和表现力，提高他们对周围世界的感知和理解。</w:t>
            </w:r>
          </w:p>
          <w:p w14:paraId="7AD9009B">
            <w:pPr>
              <w:pageBreakBefore w:val="0"/>
              <w:kinsoku/>
              <w:wordWrap/>
              <w:overflowPunct/>
              <w:topLinePunct w:val="0"/>
              <w:bidi w:val="0"/>
              <w:spacing w:line="360" w:lineRule="exact"/>
              <w:rPr>
                <w:rFonts w:ascii="宋体" w:hAnsi="宋体" w:cs="宋体"/>
                <w:bCs/>
                <w:sz w:val="18"/>
                <w:szCs w:val="18"/>
              </w:rPr>
            </w:pPr>
          </w:p>
        </w:tc>
        <w:tc>
          <w:tcPr>
            <w:tcW w:w="2322" w:type="dxa"/>
            <w:shd w:val="clear" w:color="auto" w:fill="auto"/>
          </w:tcPr>
          <w:p w14:paraId="763422C3">
            <w:pPr>
              <w:pStyle w:val="6"/>
              <w:keepNext w:val="0"/>
              <w:keepLines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教学模式：理论课教学基于“以学生为中心”的教学理念，采取“导新课－学新知－品案例－思问题－拓知识”五位一体的教学模式，将授课内容与学生兴趣相结合，达到良好的教学效果。</w:t>
            </w:r>
          </w:p>
          <w:p w14:paraId="556B2BBF">
            <w:pPr>
              <w:pageBreakBefore w:val="0"/>
              <w:widowControl/>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教学方法：采用讲解法、讨论法、实例分析法、课堂互动法等。</w:t>
            </w:r>
          </w:p>
          <w:p w14:paraId="0AC46F95">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298BCCD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评价建议：由教师根据学生的课堂表现、课堂互动和考勤情况综合评定，占期末总成绩的30%；期末成绩占总成绩的70%。</w:t>
            </w:r>
          </w:p>
        </w:tc>
      </w:tr>
      <w:tr w14:paraId="6830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shd w:val="clear" w:color="auto" w:fill="auto"/>
            <w:vAlign w:val="center"/>
          </w:tcPr>
          <w:p w14:paraId="685C164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幼儿舞蹈</w:t>
            </w:r>
          </w:p>
        </w:tc>
        <w:tc>
          <w:tcPr>
            <w:tcW w:w="2700" w:type="dxa"/>
            <w:shd w:val="clear" w:color="auto" w:fill="auto"/>
          </w:tcPr>
          <w:p w14:paraId="45E4337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1.知识目标</w:t>
            </w:r>
            <w:r>
              <w:rPr>
                <w:rFonts w:hint="eastAsia" w:ascii="宋体" w:hAnsi="宋体" w:cs="宋体"/>
                <w:bCs/>
                <w:sz w:val="18"/>
                <w:szCs w:val="18"/>
              </w:rPr>
              <w:t>：</w:t>
            </w:r>
          </w:p>
          <w:p w14:paraId="5A35AE1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（1）协调性：通过舞蹈动作的学习，提高幼儿的身体协调性和平衡能力。</w:t>
            </w:r>
          </w:p>
          <w:p w14:paraId="73C7CC7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（2）柔韧性：增强幼儿的肌肉柔韧性和关节灵活性，预防运动损伤。</w:t>
            </w:r>
          </w:p>
          <w:p w14:paraId="73E0BF9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（3）节奏感：培养幼儿的音乐感和节奏感，使其能够跟随音乐节奏进行舞蹈。</w:t>
            </w:r>
          </w:p>
          <w:p w14:paraId="32ECF98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2.能力目标</w:t>
            </w:r>
            <w:r>
              <w:rPr>
                <w:rFonts w:hint="eastAsia" w:ascii="宋体" w:hAnsi="宋体" w:cs="宋体"/>
                <w:bCs/>
                <w:sz w:val="18"/>
                <w:szCs w:val="18"/>
              </w:rPr>
              <w:t>：</w:t>
            </w:r>
          </w:p>
          <w:p w14:paraId="4A7C675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观察力：通过模仿和学习舞蹈动作，提升幼儿的观察力和模仿能力。</w:t>
            </w:r>
          </w:p>
          <w:p w14:paraId="13C967E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记忆力：训练幼儿记忆舞蹈动作序列和舞蹈编排，增强记忆力。</w:t>
            </w:r>
          </w:p>
          <w:p w14:paraId="0C23E97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空间感知：通过舞蹈中的方向变化和空间移动，增强幼儿的空间感知能力。</w:t>
            </w:r>
          </w:p>
          <w:p w14:paraId="3D8C11E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3.素质目标</w:t>
            </w:r>
            <w:r>
              <w:rPr>
                <w:rFonts w:hint="eastAsia" w:ascii="宋体" w:hAnsi="宋体" w:cs="宋体"/>
                <w:bCs/>
                <w:sz w:val="18"/>
                <w:szCs w:val="18"/>
              </w:rPr>
              <w:t>：</w:t>
            </w:r>
          </w:p>
          <w:p w14:paraId="5895DB3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自信心：鼓励幼儿在舞蹈表演中展示自己，建立自信心和自我价值感。</w:t>
            </w:r>
          </w:p>
          <w:p w14:paraId="14CA5A8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合作精神：在集体舞蹈活动中培养幼儿的合作意识和团队精神。</w:t>
            </w:r>
          </w:p>
          <w:p w14:paraId="567CEAC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审美情趣：通过欣赏和创作舞蹈，激发幼儿的艺术兴趣和审美情趣。</w:t>
            </w:r>
          </w:p>
        </w:tc>
        <w:tc>
          <w:tcPr>
            <w:tcW w:w="2618" w:type="dxa"/>
            <w:shd w:val="clear" w:color="auto" w:fill="auto"/>
          </w:tcPr>
          <w:p w14:paraId="331FF76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律动：通过律动活动，帮助幼儿理解节奏感和音乐感，同时促进身体协调性和运动能力的发展。</w:t>
            </w:r>
          </w:p>
          <w:p w14:paraId="4B4FA1F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歌表演：结合歌曲进行舞蹈表演，培养幼儿的音乐感知能力和表现力。</w:t>
            </w:r>
          </w:p>
          <w:p w14:paraId="420E870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集体舞：通过集体舞的形式，教授幼儿合作和团队精神，同时提高社交互动能力。</w:t>
            </w:r>
          </w:p>
          <w:p w14:paraId="1029324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表演舞：通过故事性或主题性的舞蹈，培养幼儿的想象力和创造力。</w:t>
            </w:r>
          </w:p>
          <w:p w14:paraId="450A38F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音乐游戏：利用音乐游戏的方式，增加幼儿对音乐的兴趣，同时锻炼听觉和节奏感。</w:t>
            </w:r>
          </w:p>
          <w:p w14:paraId="1349E2A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基本动作：包括基本体态、手位、脚位等，这些是构成复杂舞蹈动作的基础。</w:t>
            </w:r>
          </w:p>
          <w:p w14:paraId="7C9F181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动作组合：将基本动作组合成连贯的舞蹈序列，提高幼儿的动作记忆和执行能力。</w:t>
            </w:r>
          </w:p>
          <w:p w14:paraId="7183C72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舞蹈创编：鼓励幼儿根据自己的理解和创意创作简单的舞蹈，培养创新思维和自我表达能力。</w:t>
            </w:r>
          </w:p>
          <w:p w14:paraId="3AB89ED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舞台表演舞：教授幼儿如何在舞台上进行表演，包括角色扮演、情景模拟等，提高舞台表现力和自信心。</w:t>
            </w:r>
          </w:p>
          <w:p w14:paraId="2AF1891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这些内容不仅有助于幼儿身体的健康发展，还能促进其情感、认知和社会技能的全面提升。</w:t>
            </w:r>
          </w:p>
        </w:tc>
        <w:tc>
          <w:tcPr>
            <w:tcW w:w="2322" w:type="dxa"/>
            <w:shd w:val="clear" w:color="auto" w:fill="auto"/>
          </w:tcPr>
          <w:p w14:paraId="03B3B308">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13589F44">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4229720D">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（3）教学方法：运用案例式教学、启发式教学、讨论式教学、主题演讲、情景教学法等多种互动教学方法进行。</w:t>
            </w:r>
          </w:p>
          <w:p w14:paraId="046E1D2A">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（4）教师要求：任课教师要关注专业前沿，及时把最新的专业资讯融入教学内容。</w:t>
            </w:r>
          </w:p>
          <w:p w14:paraId="3CB3C8D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（5）评价建议：采取学习过程考核评定学习效果。</w:t>
            </w:r>
          </w:p>
        </w:tc>
      </w:tr>
      <w:tr w14:paraId="71F0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shd w:val="clear" w:color="auto" w:fill="auto"/>
            <w:vAlign w:val="center"/>
          </w:tcPr>
          <w:p w14:paraId="0406CFA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钢琴</w:t>
            </w:r>
          </w:p>
        </w:tc>
        <w:tc>
          <w:tcPr>
            <w:tcW w:w="2700" w:type="dxa"/>
            <w:shd w:val="clear" w:color="auto" w:fill="auto"/>
          </w:tcPr>
          <w:p w14:paraId="6ED5274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w:t>
            </w:r>
            <w:r>
              <w:rPr>
                <w:rFonts w:hint="eastAsia" w:ascii="宋体" w:hAnsi="宋体" w:cs="宋体"/>
                <w:b/>
                <w:sz w:val="18"/>
                <w:szCs w:val="18"/>
              </w:rPr>
              <w:t>.知识目标</w:t>
            </w:r>
            <w:r>
              <w:rPr>
                <w:rFonts w:hint="eastAsia" w:ascii="宋体" w:hAnsi="宋体" w:cs="宋体"/>
                <w:bCs/>
                <w:sz w:val="18"/>
                <w:szCs w:val="18"/>
              </w:rPr>
              <w:t>：</w:t>
            </w:r>
          </w:p>
          <w:p w14:paraId="3B56A0F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基础乐理：学习音符、节奏、调式、和弦等基本概念。</w:t>
            </w:r>
          </w:p>
          <w:p w14:paraId="047EE32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高级乐理：掌握复杂的和声学、曲式分析、作曲技巧等。</w:t>
            </w:r>
          </w:p>
          <w:p w14:paraId="593B0D0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2.能力目标</w:t>
            </w:r>
            <w:r>
              <w:rPr>
                <w:rFonts w:hint="eastAsia" w:ascii="宋体" w:hAnsi="宋体" w:cs="宋体"/>
                <w:bCs/>
                <w:sz w:val="18"/>
                <w:szCs w:val="18"/>
              </w:rPr>
              <w:t>：</w:t>
            </w:r>
          </w:p>
          <w:p w14:paraId="0EA43DF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手指技巧：发展灵活、协调的手指动作，能够准确快速地弹奏。</w:t>
            </w:r>
          </w:p>
          <w:p w14:paraId="2D73B09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音乐表现力：学会通过力度、速度、音色等变化表达音乐情感。</w:t>
            </w:r>
          </w:p>
          <w:p w14:paraId="6B202DF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视奏能力：提高阅读新乐谱并即时演奏的能力。</w:t>
            </w:r>
          </w:p>
          <w:p w14:paraId="0DF9CA82">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701A1E3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自律性：培养定期练习的习惯，提高自我管理能力。</w:t>
            </w:r>
          </w:p>
          <w:p w14:paraId="0401DE8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耐心与毅力：面对挑战时不放弃，持续努力直至达到目标。</w:t>
            </w:r>
          </w:p>
          <w:p w14:paraId="52FAC32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团队合作：参与合奏或伴奏活动，学习与他人协作的重要性。</w:t>
            </w:r>
          </w:p>
        </w:tc>
        <w:tc>
          <w:tcPr>
            <w:tcW w:w="2618" w:type="dxa"/>
            <w:shd w:val="clear" w:color="auto" w:fill="auto"/>
          </w:tcPr>
          <w:p w14:paraId="321A1F0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1.基础知识和技能：学生将学习钢琴的基础知识，包括五线谱阅读、音阶、和弦、琶音等，以及基本的演奏技巧，如手型、触键、指法等。</w:t>
            </w:r>
          </w:p>
          <w:p w14:paraId="0FB340D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音乐理论：学生将通过钢琴学习来加深对音乐理论的理解，包括节奏、旋律、和声、调性等。</w:t>
            </w:r>
          </w:p>
          <w:p w14:paraId="615FA49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2.曲目练习：学生将练习不同难度和风格的钢琴曲目，从简单的练习曲到复杂的古典作品，以提高演奏能力和音乐表现力。</w:t>
            </w:r>
          </w:p>
          <w:p w14:paraId="5D78EB3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3.演奏技巧和风格分析：教师会教授如何处理不同音乐作品的技术细节和表达风格，包括动态变化、音色控制和音乐诠释。</w:t>
            </w:r>
          </w:p>
          <w:p w14:paraId="291B77E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4.听觉训练：通过听不同的钢琴作品，学生可以培养音乐耳朵，提高音乐感知和分析能力。</w:t>
            </w:r>
          </w:p>
          <w:p w14:paraId="2221368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5.理论联系实际：学生将学习如何将理论知识应用到实际演奏中，提高综合运用多学科知识的能力。</w:t>
            </w:r>
          </w:p>
          <w:p w14:paraId="434CDB0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6.音乐欣赏：通过聆听和分析经典和当代的钢琴作品，学生可以扩展音乐视野，培养音乐鉴赏力。</w:t>
            </w:r>
          </w:p>
          <w:p w14:paraId="4401A9D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7.表演实践：学生将有机会在课堂上或公开场合进行演奏，以增强自信心和舞台表现力。</w:t>
            </w:r>
          </w:p>
          <w:p w14:paraId="44180BE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8.心理和生理训练：特别是对于即将参与比赛或演出的学生，教师会提供舞台表演心理训练和身体放松技巧。</w:t>
            </w:r>
          </w:p>
          <w:p w14:paraId="356173E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9.个性化教学：教师会根据学生的个人水平和学习进度调整教学计划，采用分层式教学和个性化指导，以满足不同学生的需求</w:t>
            </w:r>
          </w:p>
        </w:tc>
        <w:tc>
          <w:tcPr>
            <w:tcW w:w="2322" w:type="dxa"/>
            <w:shd w:val="clear" w:color="auto" w:fill="auto"/>
          </w:tcPr>
          <w:p w14:paraId="115DA3D3">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4D69D05D">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（2）教学条件</w:t>
            </w:r>
            <w:r>
              <w:rPr>
                <w:rFonts w:hint="eastAsia" w:ascii="宋体" w:hAnsi="宋体" w:cs="宋体"/>
                <w:bCs/>
                <w:sz w:val="18"/>
                <w:szCs w:val="18"/>
              </w:rPr>
              <w:t>：多媒体教室和智慧校园平台。</w:t>
            </w:r>
          </w:p>
          <w:p w14:paraId="38C8D434">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（3）教学方法</w:t>
            </w:r>
            <w:r>
              <w:rPr>
                <w:rFonts w:hint="eastAsia" w:ascii="宋体" w:hAnsi="宋体" w:cs="宋体"/>
                <w:bCs/>
                <w:sz w:val="18"/>
                <w:szCs w:val="18"/>
              </w:rPr>
              <w:t>：运用案例式教学、启发式教学、讨论式教学、主题演讲、情景教学法等多种互动教学方法进行。</w:t>
            </w:r>
          </w:p>
          <w:p w14:paraId="3434F340">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（4）教师要求</w:t>
            </w:r>
            <w:r>
              <w:rPr>
                <w:rFonts w:hint="eastAsia" w:ascii="宋体" w:hAnsi="宋体" w:cs="宋体"/>
                <w:bCs/>
                <w:sz w:val="18"/>
                <w:szCs w:val="18"/>
              </w:rPr>
              <w:t>：任课教师要关注专业前沿，及时把最新的专业资讯融入教学内容。</w:t>
            </w:r>
          </w:p>
          <w:p w14:paraId="158E2E8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（5）评价建议</w:t>
            </w:r>
            <w:r>
              <w:rPr>
                <w:rFonts w:hint="eastAsia" w:ascii="宋体" w:hAnsi="宋体" w:cs="宋体"/>
                <w:bCs/>
                <w:sz w:val="18"/>
                <w:szCs w:val="18"/>
              </w:rPr>
              <w:t>：采取学习过程考核评定学习效果。</w:t>
            </w:r>
          </w:p>
        </w:tc>
      </w:tr>
      <w:tr w14:paraId="28D2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shd w:val="clear" w:color="auto" w:fill="auto"/>
            <w:vAlign w:val="center"/>
          </w:tcPr>
          <w:p w14:paraId="288DFF3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幼儿园教师艺术技能</w:t>
            </w:r>
          </w:p>
        </w:tc>
        <w:tc>
          <w:tcPr>
            <w:tcW w:w="2700" w:type="dxa"/>
            <w:shd w:val="clear" w:color="auto" w:fill="auto"/>
          </w:tcPr>
          <w:p w14:paraId="152ACCD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1.知识目标</w:t>
            </w:r>
            <w:r>
              <w:rPr>
                <w:rFonts w:hint="eastAsia" w:ascii="宋体" w:hAnsi="宋体" w:cs="宋体"/>
                <w:bCs/>
                <w:sz w:val="18"/>
                <w:szCs w:val="18"/>
              </w:rPr>
              <w:t>：</w:t>
            </w:r>
          </w:p>
          <w:p w14:paraId="1442C84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（1）艺术基础知识：了解基本的艺术元素，如颜色、形状、线条、质感等，以及简单的艺术原理，如对比、对称、节奏等。</w:t>
            </w:r>
          </w:p>
          <w:p w14:paraId="30B763B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（2）文化艺术常识：认识不同文化的艺术表现形式，如民族音乐、舞蹈、绘画、手工艺等，增进对多元文化的理解和尊重。</w:t>
            </w:r>
          </w:p>
          <w:p w14:paraId="6577752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（3）艺术欣赏能力：学会欣赏艺术作品，理解作品背后的情感和意义，培养审美情趣。</w:t>
            </w:r>
          </w:p>
          <w:p w14:paraId="6A5B67D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2.能力目标</w:t>
            </w:r>
            <w:r>
              <w:rPr>
                <w:rFonts w:hint="eastAsia" w:ascii="宋体" w:hAnsi="宋体" w:cs="宋体"/>
                <w:bCs/>
                <w:sz w:val="18"/>
                <w:szCs w:val="18"/>
              </w:rPr>
              <w:t>：</w:t>
            </w:r>
          </w:p>
          <w:p w14:paraId="7B636DF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（1）艺术创作能力：通过绘画、手工制作、音乐、舞蹈等活动，激发幼儿的想象力和创造力，培养其独立完成艺术作品的能力。</w:t>
            </w:r>
          </w:p>
          <w:p w14:paraId="582D36E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（2）艺术表现能力：鼓励幼儿用各种艺术形式表达自己的情感和想法，提高其表现力和沟通能力。</w:t>
            </w:r>
          </w:p>
          <w:p w14:paraId="5410F3D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（3）艺术合作能力：在集体艺术活动中，学习与同伴合作，共同创作或表演，培养团队精神和社交技能。</w:t>
            </w:r>
          </w:p>
          <w:p w14:paraId="43255D13">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59DD106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审美素养：通过对美的感受和体验，培养幼儿对美的敏感性和鉴赏力，形成良好的审美观念。</w:t>
            </w:r>
          </w:p>
          <w:p w14:paraId="2679A80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情感态度：通过艺术活动，丰富幼儿的情感世界，培养积极向上、乐观开朗的性格特质。</w:t>
            </w:r>
          </w:p>
        </w:tc>
        <w:tc>
          <w:tcPr>
            <w:tcW w:w="2618" w:type="dxa"/>
            <w:shd w:val="clear" w:color="auto" w:fill="auto"/>
          </w:tcPr>
          <w:p w14:paraId="0237D89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sz w:val="18"/>
                <w:szCs w:val="18"/>
                <w:shd w:val="clear" w:color="auto" w:fill="FFFFFF"/>
              </w:rPr>
              <w:t>幼儿园艺术教育的教学内容通常包括绘画、手工、音乐、舞蹈等多种艺术形式。这些活动不仅能够促进幼儿的审美和创造力发展，还能帮助他们在探索中学习，体验发现的乐趣。教学内容应该根据幼儿的年龄和发展阶段进行适当调整，以确保活动既有挑战性又能适应幼儿的能力水平。</w:t>
            </w:r>
          </w:p>
        </w:tc>
        <w:tc>
          <w:tcPr>
            <w:tcW w:w="2322" w:type="dxa"/>
            <w:shd w:val="clear" w:color="auto" w:fill="auto"/>
          </w:tcPr>
          <w:p w14:paraId="49DDD88A">
            <w:pPr>
              <w:pStyle w:val="6"/>
              <w:keepNext w:val="0"/>
              <w:keepLines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教学模式：理论课教学基于“以学生为中心”的教学理念，采取“导新课－学新知－品案例－思问题－拓知识”五位一体的教学模式，将授课内容与学生兴趣相结合，达到良好的教学效果。</w:t>
            </w:r>
          </w:p>
          <w:p w14:paraId="3E9D7215">
            <w:pPr>
              <w:pageBreakBefore w:val="0"/>
              <w:widowControl/>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教学方法：采用讲解法、讨论法、实例分析法、课堂互动法等。</w:t>
            </w:r>
          </w:p>
          <w:p w14:paraId="0541F795">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66E0395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评价建议：由教师根据学生的课堂表现、课堂互动和考勤情况综合评定，占期末总成绩的30%；期末成绩占总成绩的70%。</w:t>
            </w:r>
          </w:p>
        </w:tc>
      </w:tr>
      <w:tr w14:paraId="0B06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6" w:type="dxa"/>
            <w:shd w:val="clear" w:color="auto" w:fill="auto"/>
            <w:vAlign w:val="center"/>
          </w:tcPr>
          <w:p w14:paraId="443387A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幼儿教师职业道德与施教能力</w:t>
            </w:r>
          </w:p>
        </w:tc>
        <w:tc>
          <w:tcPr>
            <w:tcW w:w="2700" w:type="dxa"/>
            <w:shd w:val="clear" w:color="auto" w:fill="auto"/>
          </w:tcPr>
          <w:p w14:paraId="4023F9E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4B7F789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学科知识：掌握幼儿发展理论、教育心理学、教学法等相关学科的基础知识。</w:t>
            </w:r>
          </w:p>
          <w:p w14:paraId="57D72A0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课程规划：能够设计和实施适合幼儿年龄和发展水平的教学活动和课程。</w:t>
            </w:r>
          </w:p>
          <w:p w14:paraId="211FD23E">
            <w:pPr>
              <w:pStyle w:val="2"/>
              <w:pageBreakBefore w:val="0"/>
              <w:kinsoku/>
              <w:wordWrap/>
              <w:overflowPunct/>
              <w:topLinePunct w:val="0"/>
              <w:bidi w:val="0"/>
              <w:spacing w:after="0" w:line="360" w:lineRule="exact"/>
              <w:rPr>
                <w:rFonts w:ascii="宋体" w:hAnsi="宋体" w:cs="宋体"/>
                <w:sz w:val="18"/>
                <w:szCs w:val="18"/>
              </w:rPr>
            </w:pPr>
            <w:r>
              <w:rPr>
                <w:rFonts w:hint="eastAsia" w:ascii="宋体" w:hAnsi="宋体" w:cs="宋体"/>
                <w:bCs/>
                <w:sz w:val="18"/>
                <w:szCs w:val="18"/>
              </w:rPr>
              <w:t>2.能力目标：</w:t>
            </w:r>
          </w:p>
          <w:p w14:paraId="158D78C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教学技能：运用多样化的教学方法和策略，促进幼儿在各个领域的学习和发展。</w:t>
            </w:r>
          </w:p>
          <w:p w14:paraId="151DA39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评估能力：有效地观察、记录和评估幼儿的学习进展，为个别化教学提供依据。</w:t>
            </w:r>
          </w:p>
          <w:p w14:paraId="69803B1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沟通技巧：与幼儿、家长和其他教育工作者建立有效的沟通和合作关系。</w:t>
            </w:r>
          </w:p>
          <w:p w14:paraId="77096FF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1C92146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情感素养：培养积极的情感态度，能够理解和支持幼儿的情感需求。</w:t>
            </w:r>
          </w:p>
          <w:p w14:paraId="71AB954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创造力：鼓励创新思维，设计富有创意的教学环境和活动，激发幼儿的想象力和创造力。</w:t>
            </w:r>
          </w:p>
          <w:p w14:paraId="18AF361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适应性：灵活应对不同情况，调整教学策略以满足幼儿的多样化需求。</w:t>
            </w:r>
          </w:p>
          <w:p w14:paraId="7ADF99F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团队合作：与同事协作，共同营造积极的教育环境，分享资源和经验。</w:t>
            </w:r>
          </w:p>
          <w:p w14:paraId="39FEFA3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领导力：在必要时展示领导能力，引导和激励团队成员，推动教育项目的实施。</w:t>
            </w:r>
          </w:p>
        </w:tc>
        <w:tc>
          <w:tcPr>
            <w:tcW w:w="2618" w:type="dxa"/>
            <w:shd w:val="clear" w:color="auto" w:fill="auto"/>
          </w:tcPr>
          <w:p w14:paraId="71E2E6D4">
            <w:pPr>
              <w:pageBreakBefore w:val="0"/>
              <w:kinsoku/>
              <w:wordWrap/>
              <w:overflowPunct/>
              <w:topLinePunct w:val="0"/>
              <w:bidi w:val="0"/>
              <w:spacing w:line="360" w:lineRule="exact"/>
              <w:ind w:firstLine="360" w:firstLineChars="200"/>
              <w:rPr>
                <w:rFonts w:ascii="宋体" w:hAnsi="宋体" w:cs="宋体"/>
                <w:bCs/>
                <w:sz w:val="18"/>
                <w:szCs w:val="18"/>
              </w:rPr>
            </w:pPr>
            <w:r>
              <w:rPr>
                <w:rFonts w:hint="eastAsia" w:ascii="宋体" w:hAnsi="宋体" w:cs="宋体"/>
                <w:bCs/>
                <w:sz w:val="18"/>
                <w:szCs w:val="18"/>
              </w:rPr>
              <w:t>幼儿教师的职业道德是指幼儿教育工作者在从事教育教学活动时应遵守的行为规范和道德准则。这些规范和准则旨在指导教师如何更好地促进幼儿的全面发展，保障幼儿的安全与健康，以及维护教育的公正性和专业性。幼儿教师职业道德的教学内容通常包括以下几个方面：</w:t>
            </w:r>
          </w:p>
          <w:p w14:paraId="0FF9C5B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1.爱岗敬业</w:t>
            </w:r>
          </w:p>
          <w:p w14:paraId="4364A7B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内容解释：幼儿教师应热爱自己的职业，对工作充满热情，不断提升自身的专业知识和技能，以专业的态度对待教育教学工作。</w:t>
            </w:r>
          </w:p>
          <w:p w14:paraId="1126146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2.关爱幼儿</w:t>
            </w:r>
          </w:p>
          <w:p w14:paraId="41F628E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内容解释：教师应以幼儿为中心，尊重每个孩子的个性差异，关心他们的身心发展，提供适宜的教育环境和情感支持。</w:t>
            </w:r>
          </w:p>
          <w:p w14:paraId="0B6E4A0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3.公平公正</w:t>
            </w:r>
          </w:p>
          <w:p w14:paraId="1887F2E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内容解释：教师应公平对待每一个幼儿，不因家庭背景、性别、能力等因素产生偏见，确保教育机会均等。</w:t>
            </w:r>
          </w:p>
          <w:p w14:paraId="01286B9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4.诚信守法</w:t>
            </w:r>
          </w:p>
          <w:p w14:paraId="61FEC36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内容解释：教师应诚实守信，遵守国家法律法规和教育行业的相关规定，不从事违法违规的教育行为。</w:t>
            </w:r>
          </w:p>
          <w:p w14:paraId="2C482A2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5.终身学习</w:t>
            </w:r>
          </w:p>
          <w:p w14:paraId="1FB3C87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内容解释：教师应认识到终身学习的重要性，不断更新教育理念，提升教育教学能力，适应教育发展的需要。</w:t>
            </w:r>
          </w:p>
        </w:tc>
        <w:tc>
          <w:tcPr>
            <w:tcW w:w="2322" w:type="dxa"/>
            <w:shd w:val="clear" w:color="auto" w:fill="auto"/>
          </w:tcPr>
          <w:p w14:paraId="03DF8695">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41BF2C28">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教学方法：运用案例式教学、启发式教学、讨论式教学、主题演讲、情景教学法等多种互动教学方法进行。</w:t>
            </w:r>
          </w:p>
          <w:p w14:paraId="1552308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教学条件：多媒体教室和智慧校园平台。</w:t>
            </w:r>
          </w:p>
          <w:p w14:paraId="32FA193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评价建议：采取学习过程考核评定学习效果。</w:t>
            </w:r>
          </w:p>
        </w:tc>
      </w:tr>
    </w:tbl>
    <w:p w14:paraId="0F28FC09">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2783"/>
        <w:gridCol w:w="2317"/>
        <w:gridCol w:w="2507"/>
      </w:tblGrid>
      <w:tr w14:paraId="7AD6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Align w:val="center"/>
          </w:tcPr>
          <w:p w14:paraId="7E09B937">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783" w:type="dxa"/>
            <w:vAlign w:val="center"/>
          </w:tcPr>
          <w:p w14:paraId="30946B4F">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317" w:type="dxa"/>
            <w:vAlign w:val="center"/>
          </w:tcPr>
          <w:p w14:paraId="65098969">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507" w:type="dxa"/>
            <w:vAlign w:val="center"/>
          </w:tcPr>
          <w:p w14:paraId="1CDEC8FC">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7086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799AE402">
            <w:pPr>
              <w:pageBreakBefore w:val="0"/>
              <w:kinsoku/>
              <w:wordWrap/>
              <w:overflowPunct/>
              <w:topLinePunct w:val="0"/>
              <w:bidi w:val="0"/>
              <w:spacing w:line="360" w:lineRule="exact"/>
              <w:jc w:val="center"/>
              <w:rPr>
                <w:rFonts w:hint="eastAsia" w:ascii="Times New Roman" w:hAnsi="Times New Roman" w:eastAsia="宋体" w:cs="Times New Roman"/>
                <w:b/>
                <w:bCs/>
                <w:kern w:val="2"/>
                <w:sz w:val="18"/>
                <w:szCs w:val="18"/>
                <w:lang w:val="en-US" w:eastAsia="zh-CN" w:bidi="ar-SA"/>
              </w:rPr>
            </w:pPr>
            <w:r>
              <w:rPr>
                <w:rFonts w:hint="eastAsia" w:ascii="宋体" w:hAnsi="宋体" w:cs="宋体"/>
                <w:b/>
                <w:bCs/>
                <w:sz w:val="18"/>
                <w:szCs w:val="18"/>
              </w:rPr>
              <w:t>幼儿园教育活动设计与实施</w:t>
            </w:r>
          </w:p>
        </w:tc>
        <w:tc>
          <w:tcPr>
            <w:tcW w:w="2783" w:type="dxa"/>
            <w:shd w:val="clear" w:color="auto" w:fill="auto"/>
            <w:vAlign w:val="top"/>
          </w:tcPr>
          <w:p w14:paraId="654DECC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1.知识目标</w:t>
            </w:r>
            <w:r>
              <w:rPr>
                <w:rFonts w:hint="eastAsia" w:ascii="宋体" w:hAnsi="宋体" w:cs="宋体"/>
                <w:bCs/>
                <w:sz w:val="18"/>
                <w:szCs w:val="18"/>
              </w:rPr>
              <w:t>：</w:t>
            </w:r>
          </w:p>
          <w:p w14:paraId="22A788B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理解幼儿学习与发展规律；</w:t>
            </w:r>
          </w:p>
          <w:p w14:paraId="425FEA3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熟悉教育活动设计的基本原理；</w:t>
            </w:r>
          </w:p>
          <w:p w14:paraId="2183D1C6">
            <w:pPr>
              <w:pageBreakBefore w:val="0"/>
              <w:kinsoku/>
              <w:wordWrap/>
              <w:overflowPunct/>
              <w:topLinePunct w:val="0"/>
              <w:bidi w:val="0"/>
              <w:spacing w:line="360" w:lineRule="exact"/>
              <w:rPr>
                <w:rStyle w:val="17"/>
                <w:rFonts w:ascii="Segoe UI" w:hAnsi="Segoe UI" w:cs="Segoe UI"/>
                <w:bCs/>
                <w:sz w:val="18"/>
                <w:szCs w:val="18"/>
                <w:shd w:val="clear" w:color="auto" w:fill="FFFFFF"/>
              </w:rPr>
            </w:pPr>
            <w:r>
              <w:rPr>
                <w:rFonts w:hint="eastAsia" w:ascii="宋体" w:hAnsi="宋体" w:cs="宋体"/>
                <w:sz w:val="18"/>
                <w:szCs w:val="18"/>
              </w:rPr>
              <w:t>了解园本课程与生成性活动设计理念。</w:t>
            </w:r>
          </w:p>
          <w:p w14:paraId="2CF9350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2.能力目标</w:t>
            </w:r>
            <w:r>
              <w:rPr>
                <w:rFonts w:hint="eastAsia" w:ascii="宋体" w:hAnsi="宋体" w:cs="宋体"/>
                <w:bCs/>
                <w:sz w:val="18"/>
                <w:szCs w:val="18"/>
              </w:rPr>
              <w:t>：</w:t>
            </w:r>
          </w:p>
          <w:p w14:paraId="2542D696">
            <w:pPr>
              <w:pageBreakBefore w:val="0"/>
              <w:kinsoku/>
              <w:wordWrap/>
              <w:overflowPunct/>
              <w:topLinePunct w:val="0"/>
              <w:bidi w:val="0"/>
              <w:spacing w:line="360" w:lineRule="exact"/>
              <w:rPr>
                <w:rFonts w:ascii="宋体" w:hAnsi="宋体" w:cs="宋体"/>
                <w:sz w:val="18"/>
                <w:szCs w:val="18"/>
              </w:rPr>
            </w:pPr>
            <w:r>
              <w:rPr>
                <w:rFonts w:ascii="宋体" w:hAnsi="宋体" w:cs="宋体"/>
                <w:sz w:val="18"/>
                <w:szCs w:val="18"/>
              </w:rPr>
              <w:t>活动设计技能</w:t>
            </w:r>
            <w:r>
              <w:rPr>
                <w:rFonts w:hint="eastAsia" w:ascii="宋体" w:hAnsi="宋体" w:cs="宋体"/>
                <w:sz w:val="18"/>
                <w:szCs w:val="18"/>
              </w:rPr>
              <w:t>；</w:t>
            </w:r>
          </w:p>
          <w:p w14:paraId="685B26DB">
            <w:pPr>
              <w:pageBreakBefore w:val="0"/>
              <w:kinsoku/>
              <w:wordWrap/>
              <w:overflowPunct/>
              <w:topLinePunct w:val="0"/>
              <w:bidi w:val="0"/>
              <w:spacing w:line="360" w:lineRule="exact"/>
              <w:rPr>
                <w:rFonts w:ascii="宋体" w:hAnsi="宋体" w:cs="宋体"/>
                <w:sz w:val="18"/>
                <w:szCs w:val="18"/>
              </w:rPr>
            </w:pPr>
            <w:r>
              <w:rPr>
                <w:rFonts w:ascii="宋体" w:hAnsi="宋体" w:cs="宋体"/>
                <w:sz w:val="18"/>
                <w:szCs w:val="18"/>
              </w:rPr>
              <w:t>活动实施与指导技能</w:t>
            </w:r>
            <w:r>
              <w:rPr>
                <w:rFonts w:hint="eastAsia" w:ascii="宋体" w:hAnsi="宋体" w:cs="宋体"/>
                <w:sz w:val="18"/>
                <w:szCs w:val="18"/>
              </w:rPr>
              <w:t>；</w:t>
            </w:r>
          </w:p>
          <w:p w14:paraId="2D194BAF">
            <w:pPr>
              <w:pageBreakBefore w:val="0"/>
              <w:kinsoku/>
              <w:wordWrap/>
              <w:overflowPunct/>
              <w:topLinePunct w:val="0"/>
              <w:bidi w:val="0"/>
              <w:spacing w:line="360" w:lineRule="exact"/>
              <w:rPr>
                <w:sz w:val="18"/>
                <w:szCs w:val="18"/>
              </w:rPr>
            </w:pPr>
            <w:r>
              <w:rPr>
                <w:rFonts w:ascii="宋体" w:hAnsi="宋体" w:cs="宋体"/>
                <w:sz w:val="18"/>
                <w:szCs w:val="18"/>
              </w:rPr>
              <w:t>活动评价与反思技能</w:t>
            </w:r>
            <w:r>
              <w:rPr>
                <w:rFonts w:hint="eastAsia" w:ascii="宋体" w:hAnsi="宋体" w:cs="宋体"/>
                <w:sz w:val="18"/>
                <w:szCs w:val="18"/>
              </w:rPr>
              <w:t>。</w:t>
            </w:r>
          </w:p>
          <w:p w14:paraId="1842EA61">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6041EC66">
            <w:pPr>
              <w:pStyle w:val="5"/>
              <w:keepNext w:val="0"/>
              <w:keepLines w:val="0"/>
              <w:pageBreakBefore w:val="0"/>
              <w:widowControl/>
              <w:shd w:val="clear" w:color="auto" w:fill="FFFFFF"/>
              <w:kinsoku/>
              <w:wordWrap/>
              <w:overflowPunct/>
              <w:topLinePunct w:val="0"/>
              <w:bidi w:val="0"/>
              <w:spacing w:before="0" w:after="0" w:line="360" w:lineRule="exact"/>
              <w:outlineLvl w:val="2"/>
              <w:rPr>
                <w:rFonts w:hint="eastAsia" w:ascii="Times New Roman" w:hAnsi="Times New Roman" w:eastAsia="宋体" w:cs="Times New Roman"/>
                <w:b w:val="0"/>
                <w:bCs/>
                <w:kern w:val="2"/>
                <w:sz w:val="18"/>
                <w:szCs w:val="18"/>
                <w:lang w:val="en-US" w:eastAsia="zh-CN" w:bidi="ar-SA"/>
              </w:rPr>
            </w:pPr>
            <w:r>
              <w:rPr>
                <w:rFonts w:ascii="宋体" w:hAnsi="宋体" w:cs="宋体"/>
                <w:b w:val="0"/>
                <w:bCs w:val="0"/>
                <w:sz w:val="18"/>
                <w:szCs w:val="18"/>
              </w:rPr>
              <w:t>培育专业理念与教育情怀</w:t>
            </w:r>
            <w:r>
              <w:rPr>
                <w:rFonts w:hint="eastAsia" w:ascii="宋体" w:hAnsi="宋体" w:cs="宋体"/>
                <w:b w:val="0"/>
                <w:bCs w:val="0"/>
                <w:sz w:val="18"/>
                <w:szCs w:val="18"/>
              </w:rPr>
              <w:t>。</w:t>
            </w:r>
          </w:p>
        </w:tc>
        <w:tc>
          <w:tcPr>
            <w:tcW w:w="2317" w:type="dxa"/>
            <w:shd w:val="clear" w:color="auto" w:fill="auto"/>
            <w:vAlign w:val="top"/>
          </w:tcPr>
          <w:p w14:paraId="19057A7A">
            <w:pPr>
              <w:pStyle w:val="5"/>
              <w:keepNext w:val="0"/>
              <w:keepLines w:val="0"/>
              <w:pageBreakBefore w:val="0"/>
              <w:widowControl/>
              <w:shd w:val="clear" w:color="auto" w:fill="FFFFFF"/>
              <w:kinsoku/>
              <w:wordWrap/>
              <w:overflowPunct/>
              <w:topLinePunct w:val="0"/>
              <w:bidi w:val="0"/>
              <w:spacing w:before="0" w:after="0" w:line="360" w:lineRule="exact"/>
              <w:outlineLvl w:val="2"/>
              <w:rPr>
                <w:rFonts w:ascii="宋体" w:hAnsi="宋体" w:cs="宋体"/>
                <w:b w:val="0"/>
                <w:sz w:val="18"/>
                <w:szCs w:val="18"/>
              </w:rPr>
            </w:pPr>
            <w:r>
              <w:rPr>
                <w:rFonts w:hint="eastAsia" w:ascii="宋体" w:hAnsi="宋体" w:cs="宋体"/>
                <w:b w:val="0"/>
                <w:sz w:val="18"/>
                <w:szCs w:val="18"/>
              </w:rPr>
              <w:t>1.</w:t>
            </w:r>
            <w:r>
              <w:rPr>
                <w:rFonts w:ascii="宋体" w:hAnsi="宋体" w:cs="宋体"/>
                <w:b w:val="0"/>
                <w:sz w:val="18"/>
                <w:szCs w:val="18"/>
              </w:rPr>
              <w:t>基础理论模块：建立活动设计的认知框架</w:t>
            </w:r>
          </w:p>
          <w:p w14:paraId="2642BC10">
            <w:pPr>
              <w:pStyle w:val="5"/>
              <w:keepNext w:val="0"/>
              <w:keepLines w:val="0"/>
              <w:pageBreakBefore w:val="0"/>
              <w:widowControl/>
              <w:shd w:val="clear" w:color="auto" w:fill="FFFFFF"/>
              <w:kinsoku/>
              <w:wordWrap/>
              <w:overflowPunct/>
              <w:topLinePunct w:val="0"/>
              <w:bidi w:val="0"/>
              <w:spacing w:before="0" w:after="0" w:line="360" w:lineRule="exact"/>
              <w:outlineLvl w:val="2"/>
              <w:rPr>
                <w:rFonts w:ascii="宋体" w:hAnsi="宋体" w:cs="宋体"/>
                <w:b w:val="0"/>
                <w:sz w:val="18"/>
                <w:szCs w:val="18"/>
              </w:rPr>
            </w:pPr>
            <w:r>
              <w:rPr>
                <w:rFonts w:hint="eastAsia" w:ascii="宋体" w:hAnsi="宋体" w:cs="宋体"/>
                <w:b w:val="0"/>
                <w:sz w:val="18"/>
                <w:szCs w:val="18"/>
              </w:rPr>
              <w:t>2.</w:t>
            </w:r>
            <w:r>
              <w:rPr>
                <w:rFonts w:ascii="宋体" w:hAnsi="宋体" w:cs="宋体"/>
                <w:b w:val="0"/>
                <w:sz w:val="18"/>
                <w:szCs w:val="18"/>
              </w:rPr>
              <w:t>设计技能模块：全流程活动设计能力培养</w:t>
            </w:r>
          </w:p>
          <w:p w14:paraId="3A99BC32">
            <w:pPr>
              <w:pStyle w:val="5"/>
              <w:keepNext w:val="0"/>
              <w:keepLines w:val="0"/>
              <w:pageBreakBefore w:val="0"/>
              <w:widowControl/>
              <w:shd w:val="clear" w:color="auto" w:fill="FFFFFF"/>
              <w:kinsoku/>
              <w:wordWrap/>
              <w:overflowPunct/>
              <w:topLinePunct w:val="0"/>
              <w:bidi w:val="0"/>
              <w:spacing w:before="0" w:after="0" w:line="360" w:lineRule="exact"/>
              <w:outlineLvl w:val="2"/>
              <w:rPr>
                <w:rFonts w:ascii="宋体" w:hAnsi="宋体" w:cs="宋体"/>
                <w:b w:val="0"/>
                <w:sz w:val="18"/>
                <w:szCs w:val="18"/>
              </w:rPr>
            </w:pPr>
            <w:r>
              <w:rPr>
                <w:rFonts w:hint="eastAsia" w:ascii="宋体" w:hAnsi="宋体" w:cs="宋体"/>
                <w:b w:val="0"/>
                <w:sz w:val="18"/>
                <w:szCs w:val="18"/>
              </w:rPr>
              <w:t>3.</w:t>
            </w:r>
            <w:r>
              <w:rPr>
                <w:rFonts w:ascii="宋体" w:hAnsi="宋体" w:cs="宋体"/>
                <w:b w:val="0"/>
                <w:sz w:val="18"/>
                <w:szCs w:val="18"/>
              </w:rPr>
              <w:t>实践应用模块：从设计到实施的全流程演练</w:t>
            </w:r>
          </w:p>
          <w:p w14:paraId="307D9EEE">
            <w:pPr>
              <w:pStyle w:val="5"/>
              <w:keepNext w:val="0"/>
              <w:keepLines w:val="0"/>
              <w:pageBreakBefore w:val="0"/>
              <w:widowControl/>
              <w:shd w:val="clear" w:color="auto" w:fill="FFFFFF"/>
              <w:kinsoku/>
              <w:wordWrap/>
              <w:overflowPunct/>
              <w:topLinePunct w:val="0"/>
              <w:bidi w:val="0"/>
              <w:spacing w:before="0" w:after="0" w:line="360" w:lineRule="exact"/>
              <w:outlineLvl w:val="2"/>
              <w:rPr>
                <w:rFonts w:ascii="宋体" w:hAnsi="宋体" w:cs="宋体"/>
                <w:b w:val="0"/>
                <w:sz w:val="18"/>
                <w:szCs w:val="18"/>
              </w:rPr>
            </w:pPr>
            <w:r>
              <w:rPr>
                <w:rFonts w:hint="eastAsia" w:ascii="宋体" w:hAnsi="宋体" w:cs="宋体"/>
                <w:b w:val="0"/>
                <w:sz w:val="18"/>
                <w:szCs w:val="18"/>
              </w:rPr>
              <w:t>4.</w:t>
            </w:r>
            <w:r>
              <w:rPr>
                <w:rFonts w:ascii="宋体" w:hAnsi="宋体" w:cs="宋体"/>
                <w:b w:val="0"/>
                <w:sz w:val="18"/>
                <w:szCs w:val="18"/>
              </w:rPr>
              <w:t>评价与反思模块：活动优化与专业成长</w:t>
            </w:r>
          </w:p>
          <w:p w14:paraId="17CCC484">
            <w:pPr>
              <w:pStyle w:val="5"/>
              <w:keepNext w:val="0"/>
              <w:keepLines w:val="0"/>
              <w:pageBreakBefore w:val="0"/>
              <w:widowControl/>
              <w:shd w:val="clear" w:color="auto" w:fill="FFFFFF"/>
              <w:kinsoku/>
              <w:wordWrap/>
              <w:overflowPunct/>
              <w:topLinePunct w:val="0"/>
              <w:bidi w:val="0"/>
              <w:spacing w:before="0" w:after="0" w:line="360" w:lineRule="exact"/>
              <w:outlineLvl w:val="2"/>
              <w:rPr>
                <w:rFonts w:hint="eastAsia" w:ascii="Times New Roman" w:hAnsi="Times New Roman" w:eastAsia="宋体" w:cs="Times New Roman"/>
                <w:b/>
                <w:bCs/>
                <w:kern w:val="2"/>
                <w:sz w:val="18"/>
                <w:szCs w:val="18"/>
                <w:lang w:val="en-US" w:eastAsia="zh-CN" w:bidi="ar-SA"/>
              </w:rPr>
            </w:pPr>
            <w:r>
              <w:rPr>
                <w:rFonts w:hint="eastAsia" w:ascii="宋体" w:hAnsi="宋体" w:cs="宋体"/>
                <w:b w:val="0"/>
                <w:sz w:val="18"/>
                <w:szCs w:val="18"/>
              </w:rPr>
              <w:t>5.</w:t>
            </w:r>
            <w:r>
              <w:rPr>
                <w:rFonts w:ascii="宋体" w:hAnsi="宋体" w:cs="宋体"/>
                <w:b w:val="0"/>
                <w:sz w:val="18"/>
                <w:szCs w:val="18"/>
              </w:rPr>
              <w:t>拓展提升模块：前沿理念与跨界融合</w:t>
            </w:r>
          </w:p>
        </w:tc>
        <w:tc>
          <w:tcPr>
            <w:tcW w:w="2507" w:type="dxa"/>
            <w:shd w:val="clear" w:color="auto" w:fill="auto"/>
            <w:vAlign w:val="top"/>
          </w:tcPr>
          <w:p w14:paraId="6AEB240C">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实践活动为载体满足学生个性化学习需求，提升学生学习兴趣和综合素养。</w:t>
            </w:r>
          </w:p>
          <w:p w14:paraId="35EBC19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教学方法：运用讨论法、情境教学法、任务驱动教学法、成果导向教学法、启发式教学法等，全面提升课堂效率和学生学习兴趣。</w:t>
            </w:r>
          </w:p>
          <w:p w14:paraId="08617544">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教学条件：多媒体教室、智慧校园平台、幼教公众号</w:t>
            </w:r>
          </w:p>
          <w:p w14:paraId="2C5C1E2A">
            <w:pPr>
              <w:pageBreakBefore w:val="0"/>
              <w:kinsoku/>
              <w:wordWrap/>
              <w:overflowPunct/>
              <w:topLinePunct w:val="0"/>
              <w:bidi w:val="0"/>
              <w:spacing w:line="360" w:lineRule="exact"/>
              <w:rPr>
                <w:rFonts w:hint="eastAsia" w:ascii="Times New Roman" w:hAnsi="Times New Roman" w:eastAsia="宋体" w:cs="Times New Roman"/>
                <w:bCs/>
                <w:kern w:val="2"/>
                <w:sz w:val="18"/>
                <w:szCs w:val="18"/>
                <w:lang w:val="en-US" w:eastAsia="zh-CN" w:bidi="ar-SA"/>
              </w:rPr>
            </w:pPr>
            <w:r>
              <w:rPr>
                <w:rFonts w:hint="eastAsia" w:ascii="宋体" w:hAnsi="宋体" w:cs="宋体"/>
                <w:bCs/>
                <w:sz w:val="18"/>
                <w:szCs w:val="18"/>
              </w:rPr>
              <w:t>评价建议：考勤+课堂表现+日常作业=平时成绩30%+期末考试成绩70%。将课前、课中、课后三个阶段的学习表现纳入过程考核，注重第二课堂学习成果增值性评价，综合评定学生学习效果。</w:t>
            </w:r>
          </w:p>
        </w:tc>
      </w:tr>
      <w:tr w14:paraId="2E4F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2D810BA2">
            <w:pPr>
              <w:pageBreakBefore w:val="0"/>
              <w:kinsoku/>
              <w:wordWrap/>
              <w:overflowPunct/>
              <w:topLinePunct w:val="0"/>
              <w:bidi w:val="0"/>
              <w:spacing w:line="360" w:lineRule="exact"/>
              <w:jc w:val="center"/>
              <w:rPr>
                <w:rFonts w:ascii="宋体" w:hAnsi="宋体" w:eastAsia="宋体" w:cs="宋体"/>
                <w:b/>
                <w:bCs/>
                <w:kern w:val="2"/>
                <w:sz w:val="18"/>
                <w:szCs w:val="18"/>
                <w:lang w:val="en-US" w:eastAsia="zh-CN" w:bidi="ar-SA"/>
              </w:rPr>
            </w:pPr>
            <w:r>
              <w:rPr>
                <w:rFonts w:hint="eastAsia" w:ascii="宋体" w:hAnsi="宋体" w:cs="宋体"/>
                <w:b/>
                <w:bCs/>
                <w:sz w:val="18"/>
                <w:szCs w:val="18"/>
              </w:rPr>
              <w:t>幼儿园课程</w:t>
            </w:r>
          </w:p>
        </w:tc>
        <w:tc>
          <w:tcPr>
            <w:tcW w:w="2783" w:type="dxa"/>
            <w:shd w:val="clear" w:color="auto" w:fill="auto"/>
            <w:vAlign w:val="top"/>
          </w:tcPr>
          <w:p w14:paraId="753896E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1.知识目标</w:t>
            </w:r>
            <w:r>
              <w:rPr>
                <w:rFonts w:hint="eastAsia" w:ascii="宋体" w:hAnsi="宋体" w:cs="宋体"/>
                <w:bCs/>
                <w:sz w:val="18"/>
                <w:szCs w:val="18"/>
              </w:rPr>
              <w:t>：</w:t>
            </w:r>
          </w:p>
          <w:p w14:paraId="3A6C317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对幼儿园课程的基本概念、基本理论能够准确地表述、辨别或再认。深刻领会幼儿园课程的基本要素，相关理论、原理、原则的基本内涵，能够达到举例说明，归纳核心内容，正确阐释。</w:t>
            </w:r>
          </w:p>
          <w:p w14:paraId="117344D9">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471D79FF">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了解当代有代表性的课程方案及早期教育课程改革和发展趋势。尝试参与课程设计，将教育理念转化为教育实践的能力。了解园本课程的内涵和基本开发流程。</w:t>
            </w:r>
          </w:p>
          <w:p w14:paraId="6ECC298F">
            <w:pPr>
              <w:pStyle w:val="20"/>
              <w:pageBreakBefore w:val="0"/>
              <w:kinsoku/>
              <w:wordWrap/>
              <w:overflowPunct/>
              <w:topLinePunct w:val="0"/>
              <w:bidi w:val="0"/>
              <w:spacing w:line="360" w:lineRule="exact"/>
              <w:ind w:firstLine="0" w:firstLineChars="0"/>
              <w:rPr>
                <w:bCs/>
                <w:kern w:val="2"/>
                <w:sz w:val="18"/>
                <w:szCs w:val="18"/>
              </w:rPr>
            </w:pPr>
            <w:r>
              <w:rPr>
                <w:rFonts w:hint="eastAsia"/>
                <w:b/>
                <w:kern w:val="2"/>
                <w:sz w:val="18"/>
                <w:szCs w:val="18"/>
              </w:rPr>
              <w:t>3.素质目标</w:t>
            </w:r>
            <w:r>
              <w:rPr>
                <w:rFonts w:hint="eastAsia"/>
                <w:bCs/>
                <w:kern w:val="2"/>
                <w:sz w:val="18"/>
                <w:szCs w:val="18"/>
              </w:rPr>
              <w:t>：</w:t>
            </w:r>
          </w:p>
          <w:p w14:paraId="182A76F7">
            <w:pPr>
              <w:pStyle w:val="20"/>
              <w:pageBreakBefore w:val="0"/>
              <w:kinsoku/>
              <w:wordWrap/>
              <w:overflowPunct/>
              <w:topLinePunct w:val="0"/>
              <w:bidi w:val="0"/>
              <w:spacing w:line="360" w:lineRule="exact"/>
              <w:ind w:firstLine="0" w:firstLineChars="0"/>
              <w:rPr>
                <w:rFonts w:ascii="宋体" w:hAnsi="宋体" w:eastAsia="宋体" w:cs="宋体"/>
                <w:kern w:val="0"/>
                <w:sz w:val="18"/>
                <w:szCs w:val="18"/>
                <w:lang w:val="en-US" w:eastAsia="zh-CN" w:bidi="ar-SA"/>
              </w:rPr>
            </w:pPr>
            <w:r>
              <w:rPr>
                <w:rFonts w:hint="eastAsia"/>
                <w:sz w:val="18"/>
                <w:szCs w:val="18"/>
              </w:rPr>
              <w:t>能够把学习的原理、原则、方法等运用到具体情境中，也就是运用所学习的理论来分析、说明、解决学前教育中的实际问题。</w:t>
            </w:r>
          </w:p>
        </w:tc>
        <w:tc>
          <w:tcPr>
            <w:tcW w:w="2317" w:type="dxa"/>
            <w:shd w:val="clear" w:color="auto" w:fill="auto"/>
            <w:vAlign w:val="top"/>
          </w:tcPr>
          <w:p w14:paraId="5934E884">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模块一：</w:t>
            </w:r>
            <w:r>
              <w:rPr>
                <w:rFonts w:hint="eastAsia" w:ascii="宋体" w:hAnsi="宋体" w:cs="宋体"/>
                <w:sz w:val="18"/>
                <w:szCs w:val="18"/>
              </w:rPr>
              <w:t>幼儿园课程的基本概念及原理</w:t>
            </w:r>
          </w:p>
          <w:p w14:paraId="1EA399E4">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模块二：</w:t>
            </w:r>
            <w:r>
              <w:rPr>
                <w:rFonts w:hint="eastAsia" w:ascii="宋体" w:hAnsi="宋体" w:cs="宋体"/>
                <w:sz w:val="18"/>
                <w:szCs w:val="18"/>
              </w:rPr>
              <w:t>幼儿园课程的目标</w:t>
            </w:r>
          </w:p>
          <w:p w14:paraId="6E541178">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模块三：</w:t>
            </w:r>
            <w:r>
              <w:rPr>
                <w:rFonts w:hint="eastAsia" w:ascii="宋体" w:hAnsi="宋体" w:cs="宋体"/>
                <w:sz w:val="18"/>
                <w:szCs w:val="18"/>
              </w:rPr>
              <w:t>幼儿园课程的内容</w:t>
            </w:r>
          </w:p>
          <w:p w14:paraId="00E211AB">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模块四：</w:t>
            </w:r>
            <w:r>
              <w:rPr>
                <w:rFonts w:hint="eastAsia" w:ascii="宋体" w:hAnsi="宋体" w:cs="宋体"/>
                <w:sz w:val="18"/>
                <w:szCs w:val="18"/>
              </w:rPr>
              <w:t>幼儿园课程的组织实施</w:t>
            </w:r>
          </w:p>
          <w:p w14:paraId="50A8CAB4">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模块五：</w:t>
            </w:r>
            <w:r>
              <w:rPr>
                <w:rFonts w:hint="eastAsia" w:ascii="宋体" w:hAnsi="宋体" w:cs="宋体"/>
                <w:sz w:val="18"/>
                <w:szCs w:val="18"/>
              </w:rPr>
              <w:t>幼儿园课程的评价</w:t>
            </w:r>
          </w:p>
          <w:p w14:paraId="4AB2A63F">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模块六：</w:t>
            </w:r>
            <w:r>
              <w:rPr>
                <w:rFonts w:hint="eastAsia" w:ascii="宋体" w:hAnsi="宋体" w:cs="宋体"/>
                <w:sz w:val="18"/>
                <w:szCs w:val="18"/>
              </w:rPr>
              <w:t>当代有代表性的课程方案早期教育课程改革和发展趋势</w:t>
            </w:r>
          </w:p>
          <w:p w14:paraId="65C825BC">
            <w:pPr>
              <w:pageBreakBefore w:val="0"/>
              <w:kinsoku/>
              <w:wordWrap/>
              <w:overflowPunct/>
              <w:topLinePunct w:val="0"/>
              <w:bidi w:val="0"/>
              <w:spacing w:line="360" w:lineRule="exact"/>
              <w:rPr>
                <w:rFonts w:ascii="宋体" w:hAnsi="宋体" w:eastAsia="宋体" w:cs="宋体"/>
                <w:kern w:val="2"/>
                <w:sz w:val="18"/>
                <w:szCs w:val="18"/>
                <w:lang w:val="en-US" w:eastAsia="zh-CN" w:bidi="ar-SA"/>
              </w:rPr>
            </w:pPr>
            <w:r>
              <w:rPr>
                <w:rFonts w:hint="eastAsia" w:ascii="宋体" w:hAnsi="宋体" w:cs="宋体"/>
                <w:bCs/>
                <w:sz w:val="18"/>
                <w:szCs w:val="18"/>
              </w:rPr>
              <w:t>模块七：</w:t>
            </w:r>
            <w:r>
              <w:rPr>
                <w:rFonts w:hint="eastAsia" w:ascii="宋体" w:hAnsi="宋体" w:cs="宋体"/>
                <w:sz w:val="18"/>
                <w:szCs w:val="18"/>
              </w:rPr>
              <w:t>园本课程的开发和利用</w:t>
            </w:r>
          </w:p>
        </w:tc>
        <w:tc>
          <w:tcPr>
            <w:tcW w:w="2507" w:type="dxa"/>
            <w:shd w:val="clear" w:color="auto" w:fill="auto"/>
            <w:vAlign w:val="top"/>
          </w:tcPr>
          <w:p w14:paraId="6D0B7489">
            <w:pPr>
              <w:pStyle w:val="6"/>
              <w:keepNext w:val="0"/>
              <w:keepLines w:val="0"/>
              <w:pageBreakBefore w:val="0"/>
              <w:kinsoku/>
              <w:wordWrap/>
              <w:overflowPunct/>
              <w:topLinePunct w:val="0"/>
              <w:bidi w:val="0"/>
              <w:spacing w:line="360" w:lineRule="exact"/>
              <w:outlineLvl w:val="3"/>
              <w:rPr>
                <w:color w:val="auto"/>
                <w:sz w:val="18"/>
                <w:szCs w:val="18"/>
              </w:rPr>
            </w:pPr>
            <w:r>
              <w:rPr>
                <w:rFonts w:hint="eastAsia" w:ascii="宋体" w:hAnsi="宋体" w:cs="宋体"/>
                <w:b w:val="0"/>
                <w:bCs/>
                <w:color w:val="auto"/>
                <w:sz w:val="18"/>
                <w:szCs w:val="18"/>
              </w:rPr>
              <w:t>教学模式：理论课教学基于“以学生为中心”的教学理念，采取“导新课－学新知－品案例－思问题－拓知识”五位一体的教学模式，将授课内容与学生兴趣相结合，达到良好的教学效果。</w:t>
            </w:r>
          </w:p>
          <w:p w14:paraId="78CCC174">
            <w:pPr>
              <w:pageBreakBefore w:val="0"/>
              <w:widowControl/>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教学方法：采用讲解法、讨论法、实例分析法、课堂互动法等。</w:t>
            </w:r>
          </w:p>
          <w:p w14:paraId="1B816147">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04DB4C28">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评价建议：由教师根据学生的课堂表现、课堂互动和考勤情况综合评定，占期末总成绩的30%；期末成绩占70%。将课前、课中、课后三个阶段的学习表现纳入过程考核，注重第二课堂学习成果增值性评价，综合评定学生学习效果。</w:t>
            </w:r>
          </w:p>
        </w:tc>
      </w:tr>
      <w:tr w14:paraId="5E97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1EBE8C97">
            <w:pPr>
              <w:pageBreakBefore w:val="0"/>
              <w:kinsoku/>
              <w:wordWrap/>
              <w:overflowPunct/>
              <w:topLinePunct w:val="0"/>
              <w:bidi w:val="0"/>
              <w:spacing w:line="360" w:lineRule="exact"/>
              <w:jc w:val="center"/>
              <w:rPr>
                <w:rFonts w:ascii="宋体" w:hAnsi="宋体" w:eastAsia="宋体" w:cs="宋体"/>
                <w:b/>
                <w:bCs/>
                <w:kern w:val="2"/>
                <w:sz w:val="18"/>
                <w:szCs w:val="18"/>
                <w:lang w:val="en-US" w:eastAsia="zh-CN" w:bidi="ar-SA"/>
              </w:rPr>
            </w:pPr>
            <w:r>
              <w:rPr>
                <w:rFonts w:hint="eastAsia" w:ascii="宋体" w:hAnsi="宋体" w:cs="宋体"/>
                <w:b/>
                <w:bCs/>
                <w:sz w:val="18"/>
                <w:szCs w:val="18"/>
              </w:rPr>
              <w:t>幼儿园环境创设</w:t>
            </w:r>
          </w:p>
        </w:tc>
        <w:tc>
          <w:tcPr>
            <w:tcW w:w="2783" w:type="dxa"/>
            <w:shd w:val="clear" w:color="auto" w:fill="auto"/>
            <w:vAlign w:val="top"/>
          </w:tcPr>
          <w:p w14:paraId="56F9E4D8">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48173A1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了解幼儿园环境创设工作的主要内容，充分认识创设幼儿园教育环境的意义，理解环境创设与幼儿园课程的关系</w:t>
            </w:r>
          </w:p>
          <w:p w14:paraId="15BC7D84">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5DAF32B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深刻认识环境对幼儿发展的重要意义，树立正确的幼儿环境创设观念；使学生掌握幼儿园各类教育环境创设的要点，并能合理利用各种材料设计制作各类玩教具美化育人环境；使学生掌握空间环境创设的基本技能，掌握设计与制作幼儿园墙饰、玩教具的基本方法</w:t>
            </w:r>
          </w:p>
          <w:p w14:paraId="2B69A6E9">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735026B3">
            <w:pPr>
              <w:pageBreakBefore w:val="0"/>
              <w:kinsoku/>
              <w:wordWrap/>
              <w:overflowPunct/>
              <w:topLinePunct w:val="0"/>
              <w:bidi w:val="0"/>
              <w:spacing w:line="360" w:lineRule="exact"/>
              <w:rPr>
                <w:rFonts w:ascii="Times New Roman" w:hAnsi="Times New Roman" w:eastAsia="宋体" w:cs="Times New Roman"/>
                <w:bCs/>
                <w:kern w:val="2"/>
                <w:sz w:val="18"/>
                <w:szCs w:val="18"/>
                <w:lang w:val="en-US" w:eastAsia="zh-CN" w:bidi="ar-SA"/>
              </w:rPr>
            </w:pPr>
            <w:r>
              <w:rPr>
                <w:rFonts w:hint="eastAsia" w:ascii="宋体" w:hAnsi="宋体" w:cs="宋体"/>
                <w:sz w:val="18"/>
                <w:szCs w:val="18"/>
              </w:rPr>
              <w:t>初步具备独立创设幼儿园教育环境的能力和开展相关课题研究的能力</w:t>
            </w:r>
          </w:p>
        </w:tc>
        <w:tc>
          <w:tcPr>
            <w:tcW w:w="2317" w:type="dxa"/>
            <w:shd w:val="clear" w:color="auto" w:fill="auto"/>
            <w:vAlign w:val="top"/>
          </w:tcPr>
          <w:p w14:paraId="2CEF1AC2">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模块一：</w:t>
            </w:r>
            <w:r>
              <w:rPr>
                <w:rFonts w:hint="eastAsia" w:ascii="宋体" w:hAnsi="宋体" w:cs="宋体"/>
                <w:sz w:val="18"/>
                <w:szCs w:val="18"/>
              </w:rPr>
              <w:t>幼儿园环境创设的概述</w:t>
            </w:r>
          </w:p>
          <w:p w14:paraId="7F903D7E">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模块二：</w:t>
            </w:r>
            <w:r>
              <w:rPr>
                <w:rFonts w:hint="eastAsia" w:ascii="宋体" w:hAnsi="宋体" w:cs="宋体"/>
                <w:sz w:val="18"/>
                <w:szCs w:val="18"/>
              </w:rPr>
              <w:t>幼儿园环境的种类</w:t>
            </w:r>
          </w:p>
          <w:p w14:paraId="2845DFF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模块三：</w:t>
            </w:r>
            <w:r>
              <w:rPr>
                <w:rFonts w:hint="eastAsia" w:ascii="宋体" w:hAnsi="宋体" w:cs="宋体"/>
                <w:sz w:val="18"/>
                <w:szCs w:val="18"/>
              </w:rPr>
              <w:t>物质环境</w:t>
            </w:r>
          </w:p>
          <w:p w14:paraId="4E3A0A1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模块四：</w:t>
            </w:r>
            <w:r>
              <w:rPr>
                <w:rFonts w:hint="eastAsia" w:ascii="宋体" w:hAnsi="宋体" w:cs="宋体"/>
                <w:sz w:val="18"/>
                <w:szCs w:val="18"/>
              </w:rPr>
              <w:t>精神环境</w:t>
            </w:r>
          </w:p>
          <w:p w14:paraId="7C4D1A85">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模块五：</w:t>
            </w:r>
            <w:r>
              <w:rPr>
                <w:rFonts w:hint="eastAsia" w:ascii="宋体" w:hAnsi="宋体" w:cs="宋体"/>
                <w:sz w:val="18"/>
                <w:szCs w:val="18"/>
              </w:rPr>
              <w:t>环境创设的方法</w:t>
            </w:r>
          </w:p>
          <w:p w14:paraId="49D965BD">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p>
        </w:tc>
        <w:tc>
          <w:tcPr>
            <w:tcW w:w="2507" w:type="dxa"/>
            <w:shd w:val="clear" w:color="auto" w:fill="auto"/>
            <w:vAlign w:val="top"/>
          </w:tcPr>
          <w:p w14:paraId="7DDC27E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w:t>
            </w:r>
            <w:r>
              <w:rPr>
                <w:rFonts w:hint="eastAsia" w:ascii="宋体" w:hAnsi="宋体" w:cs="宋体"/>
                <w:kern w:val="0"/>
                <w:sz w:val="18"/>
                <w:szCs w:val="18"/>
              </w:rPr>
              <w:t>采用线上+线下混合式教学模式，线上通过课堂外在线自主学习和创新，实现知识传递和展现；线下通过将课堂变成互动场所，进行探究学习，突出强调理论联系实际，切实增强针对性，注重实效。</w:t>
            </w:r>
          </w:p>
          <w:p w14:paraId="1D36FAC7">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w:t>
            </w:r>
            <w:r>
              <w:rPr>
                <w:rFonts w:hint="eastAsia" w:ascii="宋体" w:hAnsi="宋体" w:cs="宋体"/>
                <w:kern w:val="0"/>
                <w:sz w:val="18"/>
                <w:szCs w:val="18"/>
              </w:rPr>
              <w:t>情景模拟、小组讨论、课堂实践等教学方法，通过社会调查和创新创业大赛等活动激发学生创新创业的热情。</w:t>
            </w:r>
          </w:p>
          <w:p w14:paraId="3EA0B30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w:t>
            </w:r>
            <w:r>
              <w:rPr>
                <w:rFonts w:hint="eastAsia" w:ascii="宋体" w:hAnsi="宋体" w:cs="宋体"/>
                <w:kern w:val="0"/>
                <w:sz w:val="18"/>
                <w:szCs w:val="18"/>
              </w:rPr>
              <w:t>多媒体教室和智慧校园平台。</w:t>
            </w:r>
          </w:p>
          <w:p w14:paraId="1B0AA186">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评价建议：</w:t>
            </w:r>
            <w:r>
              <w:rPr>
                <w:rFonts w:hint="eastAsia" w:ascii="宋体" w:hAnsi="宋体" w:cs="宋体"/>
                <w:kern w:val="0"/>
                <w:sz w:val="18"/>
                <w:szCs w:val="18"/>
              </w:rPr>
              <w:t>采取学习过程考核（50%）+期末测评（50%）评定学习效果</w:t>
            </w:r>
          </w:p>
        </w:tc>
      </w:tr>
      <w:tr w14:paraId="5B61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353E5241">
            <w:pPr>
              <w:pageBreakBefore w:val="0"/>
              <w:kinsoku/>
              <w:wordWrap/>
              <w:overflowPunct/>
              <w:topLinePunct w:val="0"/>
              <w:bidi w:val="0"/>
              <w:spacing w:line="360" w:lineRule="exact"/>
              <w:jc w:val="center"/>
              <w:rPr>
                <w:rFonts w:ascii="宋体" w:hAnsi="宋体" w:eastAsia="宋体" w:cs="宋体"/>
                <w:b/>
                <w:bCs/>
                <w:kern w:val="2"/>
                <w:sz w:val="18"/>
                <w:szCs w:val="18"/>
                <w:lang w:val="en-US" w:eastAsia="zh-CN" w:bidi="ar-SA"/>
              </w:rPr>
            </w:pPr>
            <w:r>
              <w:rPr>
                <w:rFonts w:hint="eastAsia" w:ascii="宋体" w:hAnsi="宋体" w:cs="宋体"/>
                <w:b/>
                <w:bCs/>
                <w:sz w:val="18"/>
                <w:szCs w:val="18"/>
              </w:rPr>
              <w:t>幼儿园班级管理</w:t>
            </w:r>
          </w:p>
        </w:tc>
        <w:tc>
          <w:tcPr>
            <w:tcW w:w="2783" w:type="dxa"/>
            <w:shd w:val="clear" w:color="auto" w:fill="auto"/>
            <w:vAlign w:val="top"/>
          </w:tcPr>
          <w:p w14:paraId="1E922F11">
            <w:pPr>
              <w:pageBreakBefore w:val="0"/>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1.</w:t>
            </w:r>
            <w:r>
              <w:rPr>
                <w:rFonts w:ascii="宋体" w:hAnsi="宋体" w:cs="宋体"/>
                <w:b/>
                <w:bCs/>
                <w:sz w:val="18"/>
                <w:szCs w:val="18"/>
              </w:rPr>
              <w:t>知识目标</w:t>
            </w:r>
          </w:p>
          <w:p w14:paraId="55B75D8E">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理解幼儿园班级管理的基础理论</w:t>
            </w:r>
            <w:r>
              <w:rPr>
                <w:rFonts w:hint="eastAsia" w:ascii="宋体" w:hAnsi="宋体" w:cs="宋体"/>
                <w:sz w:val="18"/>
                <w:szCs w:val="18"/>
              </w:rPr>
              <w:t>；</w:t>
            </w:r>
          </w:p>
          <w:p w14:paraId="75F8B643">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掌握班级管理的概念、原则、内容及意义，明确其在幼儿教育体系中的重要性。</w:t>
            </w:r>
          </w:p>
          <w:p w14:paraId="00279EFE">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了解幼儿身心发展特点（如 3-6 岁幼儿的认知、语言、社会性发展规律），理解其与班级管理策略的关联</w:t>
            </w:r>
            <w:r>
              <w:rPr>
                <w:rFonts w:hint="eastAsia" w:ascii="宋体" w:hAnsi="宋体" w:cs="宋体"/>
                <w:sz w:val="18"/>
                <w:szCs w:val="18"/>
              </w:rPr>
              <w:t>；</w:t>
            </w:r>
          </w:p>
          <w:p w14:paraId="2354AF03">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熟悉班级管理的具体内容与流程</w:t>
            </w:r>
            <w:r>
              <w:rPr>
                <w:rFonts w:hint="eastAsia" w:ascii="宋体" w:hAnsi="宋体" w:cs="宋体"/>
                <w:sz w:val="18"/>
                <w:szCs w:val="18"/>
              </w:rPr>
              <w:t>。</w:t>
            </w:r>
          </w:p>
          <w:p w14:paraId="34AFFBAE">
            <w:pPr>
              <w:pageBreakBefore w:val="0"/>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2.</w:t>
            </w:r>
            <w:r>
              <w:rPr>
                <w:rFonts w:ascii="宋体" w:hAnsi="宋体" w:cs="宋体"/>
                <w:b/>
                <w:bCs/>
                <w:sz w:val="18"/>
                <w:szCs w:val="18"/>
              </w:rPr>
              <w:t>能力目标</w:t>
            </w:r>
          </w:p>
          <w:p w14:paraId="480E1F19">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班级日常组织与协调能力</w:t>
            </w:r>
          </w:p>
          <w:p w14:paraId="02DC0D34">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能合理规划幼儿一日活动，确保各环节过渡自然、高效有序，避免幼儿等待或混乱</w:t>
            </w:r>
            <w:r>
              <w:rPr>
                <w:rFonts w:hint="eastAsia" w:ascii="宋体" w:hAnsi="宋体" w:cs="宋体"/>
                <w:sz w:val="18"/>
                <w:szCs w:val="18"/>
              </w:rPr>
              <w:t>；</w:t>
            </w:r>
          </w:p>
          <w:p w14:paraId="1038F29B">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掌握应对班级突发情况（如幼儿冲突、安全事故）的应急处理能力</w:t>
            </w:r>
            <w:r>
              <w:rPr>
                <w:rFonts w:hint="eastAsia" w:ascii="宋体" w:hAnsi="宋体" w:cs="宋体"/>
                <w:sz w:val="18"/>
                <w:szCs w:val="18"/>
              </w:rPr>
              <w:t>；</w:t>
            </w:r>
          </w:p>
          <w:p w14:paraId="255C3134">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幼儿行为观察与引导能力</w:t>
            </w:r>
          </w:p>
          <w:p w14:paraId="4EB0AD5D">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能通过观察记录幼儿行为，识别个体差异与发展需求，制定个性化管理策略（如针对内向、好动幼儿的不同引导方式）。</w:t>
            </w:r>
          </w:p>
          <w:p w14:paraId="04052234">
            <w:pPr>
              <w:pageBreakBefore w:val="0"/>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3.</w:t>
            </w:r>
            <w:r>
              <w:rPr>
                <w:rFonts w:ascii="宋体" w:hAnsi="宋体" w:cs="宋体"/>
                <w:b/>
                <w:bCs/>
                <w:sz w:val="18"/>
                <w:szCs w:val="18"/>
              </w:rPr>
              <w:t>素</w:t>
            </w:r>
            <w:r>
              <w:rPr>
                <w:rFonts w:hint="eastAsia" w:ascii="宋体" w:hAnsi="宋体" w:cs="宋体"/>
                <w:b/>
                <w:bCs/>
                <w:sz w:val="18"/>
                <w:szCs w:val="18"/>
              </w:rPr>
              <w:t>质</w:t>
            </w:r>
            <w:r>
              <w:rPr>
                <w:rFonts w:ascii="宋体" w:hAnsi="宋体" w:cs="宋体"/>
                <w:b/>
                <w:bCs/>
                <w:sz w:val="18"/>
                <w:szCs w:val="18"/>
              </w:rPr>
              <w:t>目标</w:t>
            </w:r>
          </w:p>
          <w:p w14:paraId="52673EA7">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树立科学的教育理念与责任意识</w:t>
            </w:r>
            <w:r>
              <w:rPr>
                <w:rFonts w:hint="eastAsia" w:ascii="宋体" w:hAnsi="宋体" w:cs="宋体"/>
                <w:sz w:val="18"/>
                <w:szCs w:val="18"/>
              </w:rPr>
              <w:t>；</w:t>
            </w:r>
          </w:p>
          <w:p w14:paraId="721709ED">
            <w:pPr>
              <w:pageBreakBefore w:val="0"/>
              <w:kinsoku/>
              <w:wordWrap/>
              <w:overflowPunct/>
              <w:topLinePunct w:val="0"/>
              <w:bidi w:val="0"/>
              <w:spacing w:line="360" w:lineRule="exact"/>
              <w:jc w:val="left"/>
              <w:rPr>
                <w:rFonts w:ascii="宋体" w:hAnsi="宋体" w:cs="宋体"/>
                <w:sz w:val="18"/>
                <w:szCs w:val="18"/>
              </w:rPr>
            </w:pPr>
            <w:r>
              <w:rPr>
                <w:rFonts w:ascii="宋体" w:hAnsi="宋体" w:cs="宋体"/>
                <w:sz w:val="18"/>
                <w:szCs w:val="18"/>
              </w:rPr>
              <w:t>认同“以幼儿为本” 的教育观，尊重幼儿的主体性，关注个体差异，避免简单化、一刀切的管理方式</w:t>
            </w:r>
            <w:r>
              <w:rPr>
                <w:rFonts w:hint="eastAsia" w:ascii="宋体" w:hAnsi="宋体" w:cs="宋体"/>
                <w:sz w:val="18"/>
                <w:szCs w:val="18"/>
              </w:rPr>
              <w:t>；</w:t>
            </w:r>
          </w:p>
          <w:p w14:paraId="2C6EAC40">
            <w:pPr>
              <w:pageBreakBefore w:val="0"/>
              <w:kinsoku/>
              <w:wordWrap/>
              <w:overflowPunct/>
              <w:topLinePunct w:val="0"/>
              <w:bidi w:val="0"/>
              <w:spacing w:line="360" w:lineRule="exact"/>
              <w:jc w:val="left"/>
              <w:rPr>
                <w:rFonts w:ascii="宋体" w:hAnsi="宋体" w:eastAsia="宋体" w:cs="宋体"/>
                <w:kern w:val="2"/>
                <w:sz w:val="18"/>
                <w:szCs w:val="18"/>
                <w:lang w:val="en-US" w:eastAsia="zh-CN" w:bidi="ar-SA"/>
              </w:rPr>
            </w:pPr>
            <w:r>
              <w:rPr>
                <w:rFonts w:ascii="宋体" w:hAnsi="宋体" w:cs="宋体"/>
                <w:sz w:val="18"/>
                <w:szCs w:val="18"/>
              </w:rPr>
              <w:t>强化安全意识与职业道德，确保幼儿在班级中的人身安全与心理健康，杜绝体罚或变相体罚。</w:t>
            </w:r>
          </w:p>
        </w:tc>
        <w:tc>
          <w:tcPr>
            <w:tcW w:w="2317" w:type="dxa"/>
            <w:shd w:val="clear" w:color="auto" w:fill="auto"/>
            <w:vAlign w:val="top"/>
          </w:tcPr>
          <w:p w14:paraId="066B605B">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1.班级管理理论基础</w:t>
            </w:r>
          </w:p>
          <w:p w14:paraId="16C782C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班级日常管理实务；</w:t>
            </w:r>
          </w:p>
          <w:p w14:paraId="7B45AF5B">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一日生活流程管理；</w:t>
            </w:r>
          </w:p>
          <w:p w14:paraId="233DF43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2.环境创设与材料管理</w:t>
            </w:r>
          </w:p>
          <w:p w14:paraId="60A90509">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物理环境；</w:t>
            </w:r>
          </w:p>
          <w:p w14:paraId="27987935">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心理环境；</w:t>
            </w:r>
          </w:p>
          <w:p w14:paraId="2324E5B2">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建立平等师幼关系：蹲下来与幼儿对话、鼓励表达想法；</w:t>
            </w:r>
          </w:p>
          <w:p w14:paraId="61ED9D90">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培养同伴交往：组织合作游戏（如 “搭建城堡”）、解决冲突策略（如 “轮流说” 规则）。</w:t>
            </w:r>
          </w:p>
          <w:p w14:paraId="47C25C5A">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3. 安全与卫生管理</w:t>
            </w:r>
          </w:p>
          <w:p w14:paraId="0B24228A">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安全防护；</w:t>
            </w:r>
          </w:p>
          <w:p w14:paraId="277D3F2A">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卫生保健；一日三检（晨检、午检、离园检）；</w:t>
            </w:r>
          </w:p>
          <w:p w14:paraId="369A2A8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传染病预防：通风消毒、缺勤追踪；</w:t>
            </w:r>
          </w:p>
          <w:p w14:paraId="40B197B7">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饮食管理：过敏源记录、特殊餐食定制。</w:t>
            </w:r>
          </w:p>
          <w:p w14:paraId="3623DAC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4.班级教育与教学管理</w:t>
            </w:r>
          </w:p>
          <w:p w14:paraId="3F93EE82">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课程计划与执行；</w:t>
            </w:r>
          </w:p>
          <w:p w14:paraId="3B3FE0F0">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幼儿行为管理；</w:t>
            </w:r>
          </w:p>
          <w:p w14:paraId="759B24D4">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家园与团队协作管理；</w:t>
            </w:r>
          </w:p>
          <w:p w14:paraId="62D8A3B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家园沟通与合作；</w:t>
            </w:r>
          </w:p>
          <w:p w14:paraId="10364EE6">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班级团队协作。</w:t>
            </w:r>
          </w:p>
          <w:p w14:paraId="4307A1BB">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5.班级管理评价与反思</w:t>
            </w:r>
          </w:p>
          <w:p w14:paraId="54CA03B6">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评价体系；</w:t>
            </w:r>
          </w:p>
          <w:p w14:paraId="678E7EDD">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持续改进策略。</w:t>
            </w:r>
          </w:p>
          <w:p w14:paraId="33A39C6E">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6.实践与模拟训练</w:t>
            </w:r>
          </w:p>
          <w:p w14:paraId="4C532FE7">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实训内容；</w:t>
            </w:r>
          </w:p>
          <w:p w14:paraId="013301CB">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跟岗实习。</w:t>
            </w:r>
          </w:p>
          <w:p w14:paraId="4D92C50F">
            <w:pPr>
              <w:pageBreakBefore w:val="0"/>
              <w:kinsoku/>
              <w:wordWrap/>
              <w:overflowPunct/>
              <w:topLinePunct w:val="0"/>
              <w:bidi w:val="0"/>
              <w:spacing w:line="360" w:lineRule="exact"/>
              <w:jc w:val="left"/>
              <w:rPr>
                <w:rFonts w:ascii="宋体" w:hAnsi="宋体" w:cs="宋体"/>
                <w:sz w:val="18"/>
                <w:szCs w:val="18"/>
              </w:rPr>
            </w:pPr>
          </w:p>
          <w:p w14:paraId="775C91D0">
            <w:pPr>
              <w:pageBreakBefore w:val="0"/>
              <w:kinsoku/>
              <w:wordWrap/>
              <w:overflowPunct/>
              <w:topLinePunct w:val="0"/>
              <w:bidi w:val="0"/>
              <w:spacing w:line="360" w:lineRule="exact"/>
              <w:jc w:val="left"/>
              <w:rPr>
                <w:rFonts w:hint="eastAsia" w:ascii="宋体" w:hAnsi="宋体" w:eastAsia="宋体" w:cs="宋体"/>
                <w:kern w:val="2"/>
                <w:sz w:val="18"/>
                <w:szCs w:val="18"/>
                <w:lang w:val="en-US" w:eastAsia="zh-CN" w:bidi="ar-SA"/>
              </w:rPr>
            </w:pPr>
          </w:p>
        </w:tc>
        <w:tc>
          <w:tcPr>
            <w:tcW w:w="2507" w:type="dxa"/>
            <w:shd w:val="clear" w:color="auto" w:fill="auto"/>
            <w:vAlign w:val="center"/>
          </w:tcPr>
          <w:p w14:paraId="06FDA4EC">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教学模式：教学以学生为中心，采取“课前导学－课中研学－课后延学”的线上线下混合式教学模式，以第一课堂为主，课内课外结合，以形式多样的实践活动为载体满足学生个性化学习需求，提升学生学习兴趣和综合素养。</w:t>
            </w:r>
          </w:p>
          <w:p w14:paraId="08DAFBC6">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教学方法：运用讨论法、情境教学法、任务驱动教学法、成果导向教学法、启发式教学法等，全面提升课堂效率和学生学习兴趣。</w:t>
            </w:r>
          </w:p>
          <w:p w14:paraId="1843ADC9">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教学条件：多媒体教室、智慧校园平台、幼教公众号</w:t>
            </w:r>
          </w:p>
          <w:p w14:paraId="5B10F6F8">
            <w:pPr>
              <w:pageBreakBefore w:val="0"/>
              <w:kinsoku/>
              <w:wordWrap/>
              <w:overflowPunct/>
              <w:topLinePunct w:val="0"/>
              <w:bidi w:val="0"/>
              <w:spacing w:line="360" w:lineRule="exact"/>
              <w:jc w:val="left"/>
              <w:rPr>
                <w:rFonts w:ascii="宋体" w:hAnsi="宋体" w:eastAsia="宋体" w:cs="宋体"/>
                <w:kern w:val="2"/>
                <w:sz w:val="18"/>
                <w:szCs w:val="18"/>
                <w:lang w:val="en-US" w:eastAsia="zh-CN" w:bidi="ar-SA"/>
              </w:rPr>
            </w:pPr>
            <w:r>
              <w:rPr>
                <w:rFonts w:hint="eastAsia" w:ascii="宋体" w:hAnsi="宋体" w:cs="宋体"/>
                <w:sz w:val="18"/>
                <w:szCs w:val="18"/>
              </w:rPr>
              <w:t>评价建议：考勤+课堂表现+日常作业=平时成绩30%+期末考试成绩70%。将课前、课中、课后三个阶段的学习表现纳入过程考核，注重第二课堂学习成果增值性评价，综合评定学生学习效果。</w:t>
            </w:r>
          </w:p>
        </w:tc>
      </w:tr>
      <w:tr w14:paraId="7C4D9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5C33CE6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幼儿行为观察与评价</w:t>
            </w:r>
          </w:p>
        </w:tc>
        <w:tc>
          <w:tcPr>
            <w:tcW w:w="2783" w:type="dxa"/>
            <w:shd w:val="clear" w:color="auto" w:fill="auto"/>
          </w:tcPr>
          <w:p w14:paraId="258D9EF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1.知识目标</w:t>
            </w:r>
            <w:r>
              <w:rPr>
                <w:rFonts w:hint="eastAsia" w:ascii="宋体" w:hAnsi="宋体" w:cs="宋体"/>
                <w:bCs/>
                <w:sz w:val="18"/>
                <w:szCs w:val="18"/>
              </w:rPr>
              <w:t>：</w:t>
            </w:r>
          </w:p>
          <w:p w14:paraId="19560FD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（1）了解学前儿童行为观察与记录的重要意义，树立正确的儿童观，建立学前儿童行为观察与记录的正确观念；</w:t>
            </w:r>
          </w:p>
          <w:p w14:paraId="6679EEA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（2）掌握各种类型的学前儿童行为观察与记录的基本方法，掌握学前儿童行为评价的基本方法和评估角度。</w:t>
            </w:r>
          </w:p>
          <w:p w14:paraId="22C4026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
                <w:sz w:val="18"/>
                <w:szCs w:val="18"/>
              </w:rPr>
              <w:t>2.能力目标</w:t>
            </w:r>
            <w:r>
              <w:rPr>
                <w:rFonts w:hint="eastAsia" w:ascii="宋体" w:hAnsi="宋体" w:cs="宋体"/>
                <w:bCs/>
                <w:sz w:val="18"/>
                <w:szCs w:val="18"/>
              </w:rPr>
              <w:t>：</w:t>
            </w:r>
          </w:p>
          <w:p w14:paraId="16BB9D1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具备结合学前儿童发展阶段选定观察目标的能力、设计和实施学前儿童行为观察的能力、设计和实施学前儿童行为记录的能力。</w:t>
            </w:r>
          </w:p>
          <w:p w14:paraId="2DCF47E4">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10F4469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积极关注学前儿童行为观察与记录的发展现状及趋势，主动获取学前儿童行为观察与记录的各种信息，富有创造性地进行学前儿童行为观察与记录，积极促进学前儿童身心全面发展。</w:t>
            </w:r>
          </w:p>
        </w:tc>
        <w:tc>
          <w:tcPr>
            <w:tcW w:w="2317" w:type="dxa"/>
            <w:shd w:val="clear" w:color="auto" w:fill="auto"/>
          </w:tcPr>
          <w:p w14:paraId="7507A611">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模块一：</w:t>
            </w:r>
            <w:r>
              <w:rPr>
                <w:rFonts w:hint="eastAsia" w:ascii="宋体" w:hAnsi="宋体" w:cs="宋体"/>
                <w:sz w:val="18"/>
                <w:szCs w:val="18"/>
              </w:rPr>
              <w:t>学前儿童观察的概述</w:t>
            </w:r>
          </w:p>
          <w:p w14:paraId="7504AEB8">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模块二：</w:t>
            </w:r>
            <w:r>
              <w:rPr>
                <w:rFonts w:hint="eastAsia" w:ascii="宋体" w:hAnsi="宋体" w:cs="宋体"/>
                <w:sz w:val="18"/>
                <w:szCs w:val="18"/>
              </w:rPr>
              <w:t>儿童心理发展的基本理论</w:t>
            </w:r>
          </w:p>
          <w:p w14:paraId="32282DAF">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模块三：</w:t>
            </w:r>
            <w:r>
              <w:rPr>
                <w:rFonts w:hint="eastAsia" w:ascii="宋体" w:hAnsi="宋体" w:cs="宋体"/>
                <w:sz w:val="18"/>
                <w:szCs w:val="18"/>
              </w:rPr>
              <w:t>幼儿行为观察的方法</w:t>
            </w:r>
          </w:p>
          <w:p w14:paraId="44AB201E">
            <w:pPr>
              <w:pageBreakBefore w:val="0"/>
              <w:kinsoku/>
              <w:wordWrap/>
              <w:overflowPunct/>
              <w:topLinePunct w:val="0"/>
              <w:bidi w:val="0"/>
              <w:spacing w:line="360" w:lineRule="exact"/>
              <w:rPr>
                <w:sz w:val="18"/>
                <w:szCs w:val="18"/>
              </w:rPr>
            </w:pPr>
            <w:r>
              <w:rPr>
                <w:rFonts w:hint="eastAsia" w:ascii="宋体" w:hAnsi="宋体" w:cs="宋体"/>
                <w:bCs/>
                <w:sz w:val="18"/>
                <w:szCs w:val="18"/>
              </w:rPr>
              <w:t>模块四：</w:t>
            </w:r>
            <w:r>
              <w:rPr>
                <w:rFonts w:hint="eastAsia" w:ascii="宋体" w:hAnsi="宋体" w:cs="宋体"/>
                <w:sz w:val="18"/>
                <w:szCs w:val="18"/>
              </w:rPr>
              <w:t>描述观察法</w:t>
            </w:r>
          </w:p>
          <w:p w14:paraId="395F0BE1">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模块五：</w:t>
            </w:r>
            <w:r>
              <w:rPr>
                <w:rFonts w:hint="eastAsia" w:ascii="宋体" w:hAnsi="宋体" w:cs="宋体"/>
                <w:sz w:val="18"/>
                <w:szCs w:val="18"/>
              </w:rPr>
              <w:t>社会交往图观察法</w:t>
            </w:r>
          </w:p>
          <w:p w14:paraId="0DFEFB2C">
            <w:pPr>
              <w:pStyle w:val="20"/>
              <w:pageBreakBefore w:val="0"/>
              <w:kinsoku/>
              <w:wordWrap/>
              <w:overflowPunct/>
              <w:topLinePunct w:val="0"/>
              <w:bidi w:val="0"/>
              <w:spacing w:line="360" w:lineRule="exact"/>
              <w:ind w:firstLine="0" w:firstLineChars="0"/>
              <w:rPr>
                <w:kern w:val="2"/>
                <w:sz w:val="18"/>
                <w:szCs w:val="18"/>
              </w:rPr>
            </w:pPr>
            <w:r>
              <w:rPr>
                <w:rFonts w:hint="eastAsia"/>
                <w:bCs/>
                <w:kern w:val="2"/>
                <w:sz w:val="18"/>
                <w:szCs w:val="18"/>
              </w:rPr>
              <w:t>模块六：</w:t>
            </w:r>
            <w:r>
              <w:rPr>
                <w:rFonts w:hint="eastAsia"/>
                <w:kern w:val="2"/>
                <w:sz w:val="18"/>
                <w:szCs w:val="18"/>
              </w:rPr>
              <w:t>幼儿行为观察的实施</w:t>
            </w:r>
          </w:p>
          <w:p w14:paraId="10453F2F">
            <w:pPr>
              <w:pageBreakBefore w:val="0"/>
              <w:kinsoku/>
              <w:wordWrap/>
              <w:overflowPunct/>
              <w:topLinePunct w:val="0"/>
              <w:bidi w:val="0"/>
              <w:spacing w:line="360" w:lineRule="exact"/>
              <w:rPr>
                <w:rFonts w:ascii="宋体" w:hAnsi="宋体" w:cs="宋体"/>
                <w:sz w:val="18"/>
                <w:szCs w:val="18"/>
              </w:rPr>
            </w:pPr>
          </w:p>
        </w:tc>
        <w:tc>
          <w:tcPr>
            <w:tcW w:w="2507" w:type="dxa"/>
            <w:shd w:val="clear" w:color="auto" w:fill="auto"/>
          </w:tcPr>
          <w:p w14:paraId="6821765D">
            <w:pPr>
              <w:pStyle w:val="6"/>
              <w:keepNext w:val="0"/>
              <w:keepLines w:val="0"/>
              <w:pageBreakBefore w:val="0"/>
              <w:kinsoku/>
              <w:wordWrap/>
              <w:overflowPunct/>
              <w:topLinePunct w:val="0"/>
              <w:bidi w:val="0"/>
              <w:spacing w:line="360" w:lineRule="exact"/>
              <w:outlineLvl w:val="3"/>
              <w:rPr>
                <w:color w:val="auto"/>
                <w:sz w:val="18"/>
                <w:szCs w:val="18"/>
              </w:rPr>
            </w:pPr>
            <w:r>
              <w:rPr>
                <w:rFonts w:hint="eastAsia" w:ascii="宋体" w:hAnsi="宋体" w:cs="宋体"/>
                <w:b w:val="0"/>
                <w:bCs/>
                <w:color w:val="auto"/>
                <w:sz w:val="18"/>
                <w:szCs w:val="18"/>
              </w:rPr>
              <w:t>教学模式：理论课教学基于“以学生为中心”的教学理念，采取“导新课－学新知－品案例－思问题－拓知识”五位一体的教学模式，将授课内容与学生兴趣相结合，达到良好的教学效果。</w:t>
            </w:r>
          </w:p>
          <w:p w14:paraId="6357E0CD">
            <w:pPr>
              <w:pageBreakBefore w:val="0"/>
              <w:widowControl/>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教学方法：采用讲解法、讨论法、实例分析法、课堂互动法等。</w:t>
            </w:r>
          </w:p>
          <w:p w14:paraId="2D0D9341">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54F2A6E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评价建议：由教师根据学生的课堂表现、课堂互动和考勤情况综合评定，占期末总成绩的30%；期末成绩占70%。将课前、课中、课后三个阶段的学习表现纳入过程考核，注重第二课堂学习成果增值性评价，综合评定学生学习效果。</w:t>
            </w:r>
          </w:p>
        </w:tc>
      </w:tr>
      <w:tr w14:paraId="5946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2ADAEEE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幼儿游戏活动指导</w:t>
            </w:r>
          </w:p>
        </w:tc>
        <w:tc>
          <w:tcPr>
            <w:tcW w:w="2783" w:type="dxa"/>
            <w:shd w:val="clear" w:color="auto" w:fill="auto"/>
          </w:tcPr>
          <w:p w14:paraId="09A933F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1.素质目标：</w:t>
            </w:r>
          </w:p>
          <w:p w14:paraId="39082E0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在游戏指导过程中培养教育责任意识和关爱情感；具有良好的团队合作精神。</w:t>
            </w:r>
          </w:p>
          <w:p w14:paraId="6C82065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2.知识目标：</w:t>
            </w:r>
          </w:p>
          <w:p w14:paraId="01283F8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能针对幼儿特 点和各类游戏的特点设计教学活动；会按一定格式 编写各类游戏教案;能对幼儿在游戏过程中出现的行为进行正确评价及有效指导。</w:t>
            </w:r>
          </w:p>
          <w:p w14:paraId="3A02423A">
            <w:pPr>
              <w:pStyle w:val="20"/>
              <w:pageBreakBefore w:val="0"/>
              <w:kinsoku/>
              <w:wordWrap/>
              <w:overflowPunct/>
              <w:topLinePunct w:val="0"/>
              <w:bidi w:val="0"/>
              <w:spacing w:line="360" w:lineRule="exact"/>
              <w:ind w:firstLine="0" w:firstLineChars="0"/>
              <w:jc w:val="both"/>
              <w:rPr>
                <w:bCs/>
                <w:kern w:val="2"/>
                <w:sz w:val="18"/>
                <w:szCs w:val="18"/>
              </w:rPr>
            </w:pPr>
            <w:r>
              <w:rPr>
                <w:rFonts w:hint="eastAsia"/>
                <w:bCs/>
                <w:kern w:val="2"/>
                <w:sz w:val="18"/>
                <w:szCs w:val="18"/>
              </w:rPr>
              <w:t>3.能力目标：</w:t>
            </w:r>
          </w:p>
          <w:p w14:paraId="4C8FED36">
            <w:pPr>
              <w:pStyle w:val="20"/>
              <w:pageBreakBefore w:val="0"/>
              <w:kinsoku/>
              <w:wordWrap/>
              <w:overflowPunct/>
              <w:topLinePunct w:val="0"/>
              <w:bidi w:val="0"/>
              <w:spacing w:line="360" w:lineRule="exact"/>
              <w:ind w:firstLine="0" w:firstLineChars="0"/>
              <w:jc w:val="both"/>
              <w:rPr>
                <w:sz w:val="18"/>
                <w:szCs w:val="18"/>
              </w:rPr>
            </w:pPr>
            <w:r>
              <w:rPr>
                <w:rFonts w:hint="eastAsia"/>
                <w:sz w:val="18"/>
                <w:szCs w:val="18"/>
              </w:rPr>
              <w:t>理解幼儿游戏中不同类型游戏的特点和教育作用;掌握不同年龄阶段幼儿在游戏中的行为特点；掌握不同类型幼儿游戏的指导方法;知道在游戏指导过程中的注意。</w:t>
            </w:r>
          </w:p>
        </w:tc>
        <w:tc>
          <w:tcPr>
            <w:tcW w:w="2317" w:type="dxa"/>
            <w:shd w:val="clear" w:color="auto" w:fill="auto"/>
          </w:tcPr>
          <w:p w14:paraId="15DF2BA6">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模块一：</w:t>
            </w:r>
            <w:r>
              <w:rPr>
                <w:rFonts w:hint="eastAsia" w:ascii="宋体" w:hAnsi="宋体" w:cs="宋体"/>
                <w:sz w:val="18"/>
                <w:szCs w:val="18"/>
              </w:rPr>
              <w:t>幼儿游戏的基本理论</w:t>
            </w:r>
          </w:p>
          <w:p w14:paraId="2C0AA705">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模块二：</w:t>
            </w:r>
            <w:r>
              <w:rPr>
                <w:rFonts w:hint="eastAsia" w:ascii="宋体" w:hAnsi="宋体" w:cs="宋体"/>
                <w:sz w:val="18"/>
                <w:szCs w:val="18"/>
              </w:rPr>
              <w:t>幼儿园游戏教育活动的主要内容、基本方法和基本技能</w:t>
            </w:r>
          </w:p>
          <w:p w14:paraId="538528BC">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模块三：</w:t>
            </w:r>
            <w:r>
              <w:rPr>
                <w:rFonts w:hint="eastAsia" w:ascii="宋体" w:hAnsi="宋体" w:cs="宋体"/>
                <w:sz w:val="18"/>
                <w:szCs w:val="18"/>
              </w:rPr>
              <w:t>角色游戏</w:t>
            </w:r>
          </w:p>
          <w:p w14:paraId="783C52A3">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模块四：</w:t>
            </w:r>
            <w:r>
              <w:rPr>
                <w:rFonts w:hint="eastAsia" w:ascii="宋体" w:hAnsi="宋体" w:cs="宋体"/>
                <w:sz w:val="18"/>
                <w:szCs w:val="18"/>
              </w:rPr>
              <w:t>表演游戏</w:t>
            </w:r>
          </w:p>
          <w:p w14:paraId="681455AC">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模块五：</w:t>
            </w:r>
            <w:r>
              <w:rPr>
                <w:rFonts w:hint="eastAsia" w:ascii="宋体" w:hAnsi="宋体" w:cs="宋体"/>
                <w:sz w:val="18"/>
                <w:szCs w:val="18"/>
              </w:rPr>
              <w:t>结构游戏</w:t>
            </w:r>
          </w:p>
          <w:p w14:paraId="3932A35B">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模块六：</w:t>
            </w:r>
            <w:r>
              <w:rPr>
                <w:rFonts w:hint="eastAsia" w:ascii="宋体" w:hAnsi="宋体" w:cs="宋体"/>
                <w:sz w:val="18"/>
                <w:szCs w:val="18"/>
              </w:rPr>
              <w:t>体育游戏</w:t>
            </w:r>
          </w:p>
          <w:p w14:paraId="2CA88A1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模块七：</w:t>
            </w:r>
            <w:r>
              <w:rPr>
                <w:rFonts w:hint="eastAsia" w:ascii="宋体" w:hAnsi="宋体" w:cs="宋体"/>
                <w:sz w:val="18"/>
                <w:szCs w:val="18"/>
              </w:rPr>
              <w:t>智力游戏</w:t>
            </w:r>
          </w:p>
        </w:tc>
        <w:tc>
          <w:tcPr>
            <w:tcW w:w="2507" w:type="dxa"/>
            <w:shd w:val="clear" w:color="auto" w:fill="auto"/>
          </w:tcPr>
          <w:p w14:paraId="19172B7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w:t>
            </w:r>
            <w:r>
              <w:rPr>
                <w:rFonts w:hint="eastAsia" w:ascii="宋体" w:hAnsi="宋体" w:cs="宋体"/>
                <w:kern w:val="0"/>
                <w:sz w:val="18"/>
                <w:szCs w:val="18"/>
              </w:rPr>
              <w:t>采用线上+线下混合式教学模式，线上通过课堂外在线自主学习和创新，实现知识传递和展现；线下通过将课堂变成互动场所，进行探究学习，突出强调理论联系实际，切实增强针对性，注重实效。</w:t>
            </w:r>
          </w:p>
          <w:p w14:paraId="273F6ED4">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w:t>
            </w:r>
            <w:r>
              <w:rPr>
                <w:rFonts w:hint="eastAsia" w:ascii="宋体" w:hAnsi="宋体" w:cs="宋体"/>
                <w:kern w:val="0"/>
                <w:sz w:val="18"/>
                <w:szCs w:val="18"/>
              </w:rPr>
              <w:t>情景模拟、小组讨论、课堂实践等教学方法，通过社会调查和创新创业大赛等活动激发学生创新创业的热情。</w:t>
            </w:r>
          </w:p>
          <w:p w14:paraId="3C301F0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w:t>
            </w:r>
            <w:r>
              <w:rPr>
                <w:rFonts w:hint="eastAsia" w:ascii="宋体" w:hAnsi="宋体" w:cs="宋体"/>
                <w:kern w:val="0"/>
                <w:sz w:val="18"/>
                <w:szCs w:val="18"/>
              </w:rPr>
              <w:t>多媒体教室和智慧校园平台。</w:t>
            </w:r>
          </w:p>
          <w:p w14:paraId="2BC9C6F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评价建议：</w:t>
            </w:r>
            <w:r>
              <w:rPr>
                <w:rFonts w:hint="eastAsia" w:ascii="宋体" w:hAnsi="宋体" w:cs="宋体"/>
                <w:kern w:val="0"/>
                <w:sz w:val="18"/>
                <w:szCs w:val="18"/>
              </w:rPr>
              <w:t>采取学习过程考核（50%）+期末测评（50%）评定学习效果</w:t>
            </w:r>
          </w:p>
        </w:tc>
      </w:tr>
    </w:tbl>
    <w:p w14:paraId="63C6FCFE">
      <w:pPr>
        <w:pageBreakBefore w:val="0"/>
        <w:kinsoku/>
        <w:wordWrap/>
        <w:overflowPunct/>
        <w:topLinePunct w:val="0"/>
        <w:bidi w:val="0"/>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9"/>
        <w:gridCol w:w="2767"/>
        <w:gridCol w:w="2518"/>
        <w:gridCol w:w="2322"/>
      </w:tblGrid>
      <w:tr w14:paraId="2EEC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Align w:val="center"/>
          </w:tcPr>
          <w:p w14:paraId="57EE2623">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767" w:type="dxa"/>
            <w:vAlign w:val="center"/>
          </w:tcPr>
          <w:p w14:paraId="5846EA01">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518" w:type="dxa"/>
            <w:vAlign w:val="center"/>
          </w:tcPr>
          <w:p w14:paraId="526FDD16">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2322" w:type="dxa"/>
            <w:vAlign w:val="center"/>
          </w:tcPr>
          <w:p w14:paraId="4A4317E7">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423F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Align w:val="center"/>
          </w:tcPr>
          <w:p w14:paraId="203A017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少儿体适能训练与指导</w:t>
            </w:r>
          </w:p>
        </w:tc>
        <w:tc>
          <w:tcPr>
            <w:tcW w:w="2767" w:type="dxa"/>
            <w:vAlign w:val="center"/>
          </w:tcPr>
          <w:p w14:paraId="37B434AA">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4F0E6120">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（1）掌握与运动有关的中英文词汇以及专业术语，能够与教练高效的交流；</w:t>
            </w:r>
          </w:p>
          <w:p w14:paraId="27EB365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（2）掌握基本的训练方法，掌握动作技能以及运动技能改善动作模式从而循序渐进的提高身体素质。</w:t>
            </w:r>
          </w:p>
          <w:p w14:paraId="4AAC967A">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042C4831">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（1）具备良好的身体姿态，健康的身体机能，出色的身体素质；</w:t>
            </w:r>
          </w:p>
          <w:p w14:paraId="3FE39DBF">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（2）具备参与任何一项专项训练的能力，能够加速学习专项技能的进程，尽快掌握专项动作的规律。衔接学校体育，达到国家健康体质测试的相关标准，与学校体育相融合。</w:t>
            </w:r>
          </w:p>
          <w:p w14:paraId="40D1F275">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03D199DF">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养成良好的性格，具备强大的内心，良好的情绪管理。认知能力得到提升。通过分享与合作发展领导力，将韧性，洞察力，主动性，自信心，责任感，协调能力，宽容融入训练，学习与生活。发扬运动家精神。</w:t>
            </w:r>
          </w:p>
        </w:tc>
        <w:tc>
          <w:tcPr>
            <w:tcW w:w="2518" w:type="dxa"/>
          </w:tcPr>
          <w:p w14:paraId="47F3D83B">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模块一：理论课</w:t>
            </w:r>
          </w:p>
          <w:p w14:paraId="525DF782">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儿童体适能市场概述、儿童体适能发展的阶段与特征</w:t>
            </w:r>
          </w:p>
          <w:p w14:paraId="73694253">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儿童运动系统解剖学等。</w:t>
            </w:r>
          </w:p>
          <w:p w14:paraId="6DF8018E">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模块二：体能评估</w:t>
            </w:r>
          </w:p>
          <w:p w14:paraId="55B53A29">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体能评估功能性运动筛查</w:t>
            </w:r>
          </w:p>
          <w:p w14:paraId="0B5F41F3">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RM测试、立定跳远、L形跑动等。</w:t>
            </w:r>
          </w:p>
          <w:p w14:paraId="0E1CEBC2">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模块三：训练课</w:t>
            </w:r>
          </w:p>
          <w:p w14:paraId="011F6333">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有氧耐力训练、力量训练、力量耐力训练、速度素质训练、灵敏协调素质训练等内容。</w:t>
            </w:r>
          </w:p>
          <w:p w14:paraId="1816CFD0">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模块四：预防</w:t>
            </w:r>
          </w:p>
          <w:p w14:paraId="332C562C">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体适能练习与运动损伤预防、体适能练习与运动损伤康复等内容。</w:t>
            </w:r>
          </w:p>
        </w:tc>
        <w:tc>
          <w:tcPr>
            <w:tcW w:w="2322" w:type="dxa"/>
          </w:tcPr>
          <w:p w14:paraId="5CEA1668">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教学模式：采用线上+线下混合式教学模式，线上通过课堂外在线自主学习和创新，实现知识传递和展现；线下通过将课堂变成互动场所，进行探究学习，突出强调理论联系实际，切实增强针对性，注重实效。</w:t>
            </w:r>
          </w:p>
          <w:p w14:paraId="40007665">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教学方法：情景模拟、小组讨论、课堂实践等教学方法，通过社会调查和创新创业大赛等活动激发学生创新创业的热情。</w:t>
            </w:r>
          </w:p>
          <w:p w14:paraId="737D14EE">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教学条件：多媒体教室和智慧校园平台。</w:t>
            </w:r>
          </w:p>
          <w:p w14:paraId="4D3A9B69">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评价建议：采取学习过程考核（50%）+期末测评（50%）评定学习效果</w:t>
            </w:r>
          </w:p>
        </w:tc>
      </w:tr>
      <w:tr w14:paraId="443C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21AA89CD">
            <w:pPr>
              <w:pageBreakBefore w:val="0"/>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儿童文学</w:t>
            </w:r>
          </w:p>
        </w:tc>
        <w:tc>
          <w:tcPr>
            <w:tcW w:w="2767" w:type="dxa"/>
            <w:shd w:val="clear" w:color="auto" w:fill="auto"/>
            <w:vAlign w:val="top"/>
          </w:tcPr>
          <w:p w14:paraId="6C44BAFB">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7217BE2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《儿童文学》课程旨在使学生掌握作为幼儿教师必备的儿童文学理论知识，熟悉并掌握童话、寓言等儿童文学常用形式，提高学生对儿童文学的鉴赏水平，为将来更好地从事幼儿教育工作打下坚实的基础。</w:t>
            </w:r>
          </w:p>
          <w:p w14:paraId="2AD5944A">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5C7A82A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培养学生扎实的儿童文学理论基础，使学生能够根据儿童的年龄特点和各种文学体裁特点，赏析、演练各种文学作品，组织各种文学体裁教学活动。为了达到较好的教学效果，要求教师在教学过程中将儿童文学的理论和实践紧密结合，结合大量的儿童文学作品，进行理论讲授和亲身示范。</w:t>
            </w:r>
          </w:p>
          <w:p w14:paraId="349620FC">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19492C6E">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sz w:val="18"/>
                <w:szCs w:val="18"/>
              </w:rPr>
              <w:t>课程中以提升学生实践能力为主要目标，让学生进行各种文学作品的赏析、教学活动的演练，调动学生参与积极性，让他们在扎扎实实地在实践活动中逐步提高。</w:t>
            </w:r>
          </w:p>
        </w:tc>
        <w:tc>
          <w:tcPr>
            <w:tcW w:w="2518" w:type="dxa"/>
            <w:shd w:val="clear" w:color="auto" w:fill="auto"/>
            <w:vAlign w:val="top"/>
          </w:tcPr>
          <w:p w14:paraId="32F9792B">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模块一：</w:t>
            </w:r>
            <w:r>
              <w:rPr>
                <w:rFonts w:hint="eastAsia" w:ascii="宋体" w:hAnsi="宋体" w:cs="宋体"/>
                <w:sz w:val="18"/>
                <w:szCs w:val="18"/>
              </w:rPr>
              <w:t>儿童文学的基本原理</w:t>
            </w:r>
          </w:p>
          <w:p w14:paraId="2BE2F1FB">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模块一：</w:t>
            </w:r>
            <w:r>
              <w:rPr>
                <w:rFonts w:hint="eastAsia" w:ascii="宋体" w:hAnsi="宋体" w:cs="宋体"/>
                <w:sz w:val="18"/>
                <w:szCs w:val="18"/>
              </w:rPr>
              <w:t>儿童文学的创作主体与接收对象</w:t>
            </w:r>
          </w:p>
          <w:p w14:paraId="725E9812">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模块二：</w:t>
            </w:r>
            <w:r>
              <w:rPr>
                <w:rFonts w:hint="eastAsia" w:ascii="宋体" w:hAnsi="宋体" w:cs="宋体"/>
                <w:sz w:val="18"/>
                <w:szCs w:val="18"/>
              </w:rPr>
              <w:t>儿童文学的文本特征</w:t>
            </w:r>
          </w:p>
          <w:p w14:paraId="3976E9F1">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模块三：</w:t>
            </w:r>
            <w:r>
              <w:rPr>
                <w:rFonts w:hint="eastAsia" w:ascii="宋体" w:hAnsi="宋体" w:cs="宋体"/>
                <w:sz w:val="18"/>
                <w:szCs w:val="18"/>
              </w:rPr>
              <w:t>儿歌和儿童诗</w:t>
            </w:r>
          </w:p>
          <w:p w14:paraId="397AE317">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模块四：</w:t>
            </w:r>
            <w:r>
              <w:rPr>
                <w:rFonts w:hint="eastAsia" w:ascii="宋体" w:hAnsi="宋体" w:cs="宋体"/>
                <w:sz w:val="18"/>
                <w:szCs w:val="18"/>
              </w:rPr>
              <w:t>童话和寓言</w:t>
            </w:r>
          </w:p>
          <w:p w14:paraId="3E95A59A">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模块五：</w:t>
            </w:r>
            <w:r>
              <w:rPr>
                <w:rFonts w:hint="eastAsia" w:ascii="宋体" w:hAnsi="宋体" w:cs="宋体"/>
                <w:sz w:val="18"/>
                <w:szCs w:val="18"/>
              </w:rPr>
              <w:t>儿童故事</w:t>
            </w:r>
          </w:p>
          <w:p w14:paraId="5BA4571D">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模块六：</w:t>
            </w:r>
            <w:r>
              <w:rPr>
                <w:rFonts w:hint="eastAsia" w:ascii="宋体" w:hAnsi="宋体" w:cs="宋体"/>
                <w:sz w:val="18"/>
                <w:szCs w:val="18"/>
              </w:rPr>
              <w:t>儿童散文</w:t>
            </w:r>
          </w:p>
          <w:p w14:paraId="7208C715">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模块七：</w:t>
            </w:r>
            <w:r>
              <w:rPr>
                <w:rFonts w:hint="eastAsia" w:ascii="宋体" w:hAnsi="宋体" w:cs="宋体"/>
                <w:sz w:val="18"/>
                <w:szCs w:val="18"/>
              </w:rPr>
              <w:t>儿童科学文艺</w:t>
            </w:r>
          </w:p>
          <w:p w14:paraId="6D9ABE91">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模块八：</w:t>
            </w:r>
            <w:r>
              <w:rPr>
                <w:rFonts w:hint="eastAsia" w:ascii="宋体" w:hAnsi="宋体" w:cs="宋体"/>
                <w:sz w:val="18"/>
                <w:szCs w:val="18"/>
              </w:rPr>
              <w:t>儿童图画书</w:t>
            </w:r>
          </w:p>
          <w:p w14:paraId="3C05923F">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模块九：</w:t>
            </w:r>
            <w:r>
              <w:rPr>
                <w:rFonts w:hint="eastAsia" w:ascii="宋体" w:hAnsi="宋体" w:cs="宋体"/>
                <w:sz w:val="18"/>
                <w:szCs w:val="18"/>
              </w:rPr>
              <w:t>儿童戏剧文学</w:t>
            </w:r>
          </w:p>
        </w:tc>
        <w:tc>
          <w:tcPr>
            <w:tcW w:w="2322" w:type="dxa"/>
            <w:shd w:val="clear" w:color="auto" w:fill="auto"/>
            <w:vAlign w:val="top"/>
          </w:tcPr>
          <w:p w14:paraId="3387219B">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29635D27">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教学方法：运用案例式教学、启发式教学、讨论式教学、主题演讲、情景教学法等多种互动教学方法进行。</w:t>
            </w:r>
          </w:p>
          <w:p w14:paraId="781E0D6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教学条件：多媒体教室和智慧校园平台。</w:t>
            </w:r>
          </w:p>
          <w:p w14:paraId="497118AE">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评价建议：采取学习过程考核评定学习效果。</w:t>
            </w:r>
          </w:p>
        </w:tc>
      </w:tr>
      <w:tr w14:paraId="6B4A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4DD2BE74">
            <w:pPr>
              <w:pageBreakBefore w:val="0"/>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中外学前教育史</w:t>
            </w:r>
          </w:p>
        </w:tc>
        <w:tc>
          <w:tcPr>
            <w:tcW w:w="2767" w:type="dxa"/>
            <w:shd w:val="clear" w:color="auto" w:fill="auto"/>
            <w:vAlign w:val="top"/>
          </w:tcPr>
          <w:p w14:paraId="13C23F56">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6743663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（1）了解并认识中外学前教育形成和发展的历程，基本掌握中外学前教育思想和教育制度发展的主要内容。认识不同时期中外学前教育发展的特点和存在的基本问题；</w:t>
            </w:r>
          </w:p>
          <w:p w14:paraId="2E60BBF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（2）了解中外学前教育思想、教育制度、教育实践的基本脉络，获得中外学前教育改革基本经验。</w:t>
            </w:r>
          </w:p>
          <w:p w14:paraId="0C2A31AE">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1EC1E02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初步形成具有历史感的教育眼光，对于教育问题有比较敏感的把握能力，以及具有分析和比较研究教育的问题的能力，洋为中用，为我国不学前教育改革和发展提供历史借鉴。</w:t>
            </w:r>
          </w:p>
          <w:p w14:paraId="0D2F5C59">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29304531">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sz w:val="18"/>
                <w:szCs w:val="18"/>
              </w:rPr>
              <w:t>培养学生对教育问题的关注意识，同时感知教育家为教育献身的精神和关心教育事业的热情，激发对学前教育事业的热爱。</w:t>
            </w:r>
          </w:p>
        </w:tc>
        <w:tc>
          <w:tcPr>
            <w:tcW w:w="2518" w:type="dxa"/>
            <w:shd w:val="clear" w:color="auto" w:fill="auto"/>
            <w:vAlign w:val="top"/>
          </w:tcPr>
          <w:p w14:paraId="2539C2F0">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模块一：</w:t>
            </w:r>
            <w:r>
              <w:rPr>
                <w:rFonts w:hint="eastAsia" w:ascii="宋体" w:hAnsi="宋体" w:cs="宋体"/>
                <w:sz w:val="18"/>
                <w:szCs w:val="18"/>
              </w:rPr>
              <w:t>中国古代学前教育</w:t>
            </w:r>
          </w:p>
          <w:p w14:paraId="4A96B23D">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模块二：</w:t>
            </w:r>
            <w:r>
              <w:rPr>
                <w:rFonts w:hint="eastAsia" w:ascii="宋体" w:hAnsi="宋体" w:cs="宋体"/>
                <w:sz w:val="18"/>
                <w:szCs w:val="18"/>
              </w:rPr>
              <w:t>中国古代学前教育思想</w:t>
            </w:r>
          </w:p>
          <w:p w14:paraId="77E78C53">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模块三：</w:t>
            </w:r>
            <w:r>
              <w:rPr>
                <w:rFonts w:hint="eastAsia" w:ascii="宋体" w:hAnsi="宋体" w:cs="宋体"/>
                <w:sz w:val="18"/>
                <w:szCs w:val="18"/>
              </w:rPr>
              <w:t>中国近代学前教育产生</w:t>
            </w:r>
          </w:p>
          <w:p w14:paraId="6C0FB359">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模块四：</w:t>
            </w:r>
            <w:r>
              <w:rPr>
                <w:rFonts w:hint="eastAsia" w:ascii="宋体" w:hAnsi="宋体" w:cs="宋体"/>
                <w:sz w:val="18"/>
                <w:szCs w:val="18"/>
              </w:rPr>
              <w:t>五四运动前后学前教育</w:t>
            </w:r>
          </w:p>
          <w:p w14:paraId="4CC94EE9">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模块五：</w:t>
            </w:r>
            <w:r>
              <w:rPr>
                <w:rFonts w:hint="eastAsia" w:ascii="宋体" w:hAnsi="宋体" w:cs="宋体"/>
                <w:sz w:val="18"/>
                <w:szCs w:val="18"/>
              </w:rPr>
              <w:t>张雪门的学前教育思想</w:t>
            </w:r>
          </w:p>
          <w:p w14:paraId="0E20B78F">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p>
        </w:tc>
        <w:tc>
          <w:tcPr>
            <w:tcW w:w="2322" w:type="dxa"/>
            <w:shd w:val="clear" w:color="auto" w:fill="auto"/>
            <w:vAlign w:val="top"/>
          </w:tcPr>
          <w:p w14:paraId="6FCCFCED">
            <w:pPr>
              <w:pStyle w:val="6"/>
              <w:keepNext w:val="0"/>
              <w:keepLines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教学模式：理论课教学基于“以学生为中心”的教学理念，采取“导新课－学新知－品案例－思问题－拓知识”五位一体的教学模式，将授课内容与学生兴趣相结合，达到良好的教学效果。</w:t>
            </w:r>
          </w:p>
          <w:p w14:paraId="50939A8F">
            <w:pPr>
              <w:pageBreakBefore w:val="0"/>
              <w:widowControl/>
              <w:kinsoku/>
              <w:wordWrap/>
              <w:overflowPunct/>
              <w:topLinePunct w:val="0"/>
              <w:bidi w:val="0"/>
              <w:spacing w:line="360" w:lineRule="exact"/>
              <w:jc w:val="left"/>
              <w:rPr>
                <w:rFonts w:ascii="宋体" w:hAnsi="宋体" w:cs="宋体"/>
                <w:bCs/>
                <w:sz w:val="18"/>
                <w:szCs w:val="18"/>
              </w:rPr>
            </w:pPr>
            <w:r>
              <w:rPr>
                <w:rFonts w:hint="eastAsia" w:ascii="宋体" w:hAnsi="宋体" w:cs="宋体"/>
                <w:bCs/>
                <w:sz w:val="18"/>
                <w:szCs w:val="18"/>
              </w:rPr>
              <w:t>教学方法：采用讲解法、讨论法、实例分析法、课堂互动法等。</w:t>
            </w:r>
          </w:p>
          <w:p w14:paraId="0B65A489">
            <w:pPr>
              <w:pStyle w:val="6"/>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教学条件：依托多媒体教室和智慧校园平台开展教学。</w:t>
            </w:r>
          </w:p>
          <w:p w14:paraId="23BFAE82">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评价建议：由教师根据学生的课堂表现、课堂互动和考勤情况综合评定，占期末总成绩的30%；期末成绩占70%。将课前、课中、课后三个阶段的学习表现纳入过程考核，注重第二课堂学习成果增值性评价，综合评定学生学习效果。</w:t>
            </w:r>
          </w:p>
        </w:tc>
      </w:tr>
      <w:tr w14:paraId="63B8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59C8A5C9">
            <w:pPr>
              <w:pageBreakBefore w:val="0"/>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kern w:val="0"/>
                <w:sz w:val="18"/>
                <w:szCs w:val="18"/>
              </w:rPr>
              <w:t>幼儿园玩教具制作</w:t>
            </w:r>
          </w:p>
        </w:tc>
        <w:tc>
          <w:tcPr>
            <w:tcW w:w="2767" w:type="dxa"/>
            <w:shd w:val="clear" w:color="auto" w:fill="auto"/>
            <w:vAlign w:val="top"/>
          </w:tcPr>
          <w:p w14:paraId="1FC8C282">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52E8636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通过观察和操作材料，幼儿可以学习形状、颜色、大小等基本概念，增强对周围世界的认识和理解。</w:t>
            </w:r>
          </w:p>
          <w:p w14:paraId="628DB2BE">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40B2EFD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手工制作需要幼儿使用手指和手腕完成剪切、粘贴、绘画等动作，这有助于提高他们的手眼协调能力和精细动作技能。</w:t>
            </w:r>
          </w:p>
          <w:p w14:paraId="0141E10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创造力和想象力：鼓励幼儿自由发挥，创作独一无二的手工作品，激发他们的创造力和想象力。</w:t>
            </w:r>
          </w:p>
          <w:p w14:paraId="44F8AF5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解决问题能力：在制作过程中遇到困难时，幼儿需要思考如何解决问题，比如选择合适的材料、调整设计方案等，从而培养他们的问题解决能力。</w:t>
            </w:r>
          </w:p>
          <w:p w14:paraId="7E8238E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社交技能：在集体手工活动中，幼儿有机会与同伴交流合作，学会分享工具和材料，倾听他人意见，这有助于提升他们的社交技能和团队协作精神。</w:t>
            </w:r>
          </w:p>
          <w:p w14:paraId="4F73AE79">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62A9FFA6">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通过手工制作，幼儿可以将自己的情感和想法融入作品中，同时，耐心等待作品完成也有助于培养他们的情绪管理能力。</w:t>
            </w:r>
          </w:p>
        </w:tc>
        <w:tc>
          <w:tcPr>
            <w:tcW w:w="2518" w:type="dxa"/>
            <w:shd w:val="clear" w:color="auto" w:fill="auto"/>
            <w:vAlign w:val="top"/>
          </w:tcPr>
          <w:p w14:paraId="2BED32D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1.纸工：包括平面纸工（如剪纸、剪纸贴画）和立体纸工（如折纸、衍纸）等基本技法的教授，以及纸工教学案例分析。</w:t>
            </w:r>
          </w:p>
          <w:p w14:paraId="2C52A36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2.泥工：涉及传统泥塑和黏土造型的基本方法，以及手工黏土作品的创作，泥工教学的价值和案例也是教学重点。</w:t>
            </w:r>
          </w:p>
          <w:p w14:paraId="56BB752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3.布艺：包括民间布艺的表现内容和艺术特点，布艺制作方法（如粘贴、缝制针法、填充），以及布贴画和立体布艺制作的技巧。</w:t>
            </w:r>
          </w:p>
          <w:p w14:paraId="59A2C52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4.绳艺：教授传统绳结的基本结法和线形材料的平面及立体造型方法。</w:t>
            </w:r>
          </w:p>
          <w:p w14:paraId="68F3B69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5.环保材料手工制作：利用回收材料进行创意制作，培养幼儿的环保意识和创新能力。</w:t>
            </w:r>
          </w:p>
          <w:p w14:paraId="7D794616">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6.幼儿园自制玩教具：设计和制作适合幼儿游戏和学习的教具，增加教学互动性和趣味性。</w:t>
            </w:r>
          </w:p>
        </w:tc>
        <w:tc>
          <w:tcPr>
            <w:tcW w:w="2322" w:type="dxa"/>
            <w:shd w:val="clear" w:color="auto" w:fill="auto"/>
            <w:vAlign w:val="top"/>
          </w:tcPr>
          <w:p w14:paraId="2781C9DE">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6C24BD3C">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教学方法：运用案例式教学、启发式教学、讨论式教学、主题演讲、情景教学法等多种互动教学方法进行。</w:t>
            </w:r>
          </w:p>
          <w:p w14:paraId="330FEE9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教学条件：多媒体教室和智慧校园平台。</w:t>
            </w:r>
          </w:p>
          <w:p w14:paraId="34AC4020">
            <w:pPr>
              <w:pageBreakBefore w:val="0"/>
              <w:kinsoku/>
              <w:wordWrap/>
              <w:overflowPunct/>
              <w:topLinePunct w:val="0"/>
              <w:bidi w:val="0"/>
              <w:spacing w:line="360" w:lineRule="exact"/>
              <w:rPr>
                <w:rFonts w:hint="eastAsia" w:ascii="宋体" w:hAnsi="宋体" w:eastAsia="宋体" w:cs="宋体"/>
                <w:b/>
                <w:kern w:val="2"/>
                <w:sz w:val="18"/>
                <w:szCs w:val="18"/>
                <w:lang w:val="en-US" w:eastAsia="zh-CN" w:bidi="ar-SA"/>
              </w:rPr>
            </w:pPr>
            <w:r>
              <w:rPr>
                <w:rFonts w:hint="eastAsia" w:ascii="宋体" w:hAnsi="宋体" w:cs="宋体"/>
                <w:bCs/>
                <w:sz w:val="18"/>
                <w:szCs w:val="18"/>
              </w:rPr>
              <w:t>评价建议：采取学习过程考核评定学习效果。</w:t>
            </w:r>
          </w:p>
        </w:tc>
      </w:tr>
      <w:tr w14:paraId="5ABB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76AF3A59">
            <w:pPr>
              <w:pageBreakBefore w:val="0"/>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儿歌弹唱</w:t>
            </w:r>
          </w:p>
        </w:tc>
        <w:tc>
          <w:tcPr>
            <w:tcW w:w="2767" w:type="dxa"/>
            <w:shd w:val="clear" w:color="auto" w:fill="auto"/>
            <w:vAlign w:val="top"/>
          </w:tcPr>
          <w:p w14:paraId="03253BDC">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607A9C8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基础乐理：了解音符、节奏、旋律等基本音乐元素，能够识别简单的乐谱。</w:t>
            </w:r>
          </w:p>
          <w:p w14:paraId="365AC83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乐器演奏：掌握至少一种乐器的基本演奏技巧，如钢琴、吉他等，能够进行基本的伴奏。</w:t>
            </w:r>
          </w:p>
          <w:p w14:paraId="399FA18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歌曲演唱：学习正确的呼吸方法和发声技巧，能够准确地演唱儿歌，并表达歌曲的情感。</w:t>
            </w:r>
          </w:p>
          <w:p w14:paraId="0868C2D0">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638CACC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即兴创作：鼓励儿童在熟悉的基础上进行简单的旋律或歌词创作，培养其创新思维。</w:t>
            </w:r>
          </w:p>
          <w:p w14:paraId="43EACAE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舞台表现：通过肢体语言和面部表情，提升儿童在舞台上的表现力和自信。</w:t>
            </w:r>
          </w:p>
          <w:p w14:paraId="77FB584B">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710FB98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团队协作：在合唱或合奏中学会与其他儿童协调配合，培养团队精神。</w:t>
            </w:r>
          </w:p>
          <w:p w14:paraId="31CBB18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交流沟通：通过音乐活动增进与同伴之间的交流，提高社交能力。</w:t>
            </w:r>
          </w:p>
          <w:p w14:paraId="2864BD0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通过儿歌传达积极向上的情感，培养儿童的情感认知和共鸣。</w:t>
            </w:r>
          </w:p>
          <w:p w14:paraId="7107B426">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引导儿童欣赏不同风格的儿歌，提高他们对美的感知和鉴赏能力。</w:t>
            </w:r>
          </w:p>
        </w:tc>
        <w:tc>
          <w:tcPr>
            <w:tcW w:w="2518" w:type="dxa"/>
            <w:shd w:val="clear" w:color="auto" w:fill="auto"/>
            <w:vAlign w:val="top"/>
          </w:tcPr>
          <w:p w14:paraId="2515097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1.儿歌弹唱基础知识：介绍儿歌的起源与发展，儿歌的特点与分类，以及基本的弹唱技巧和乐理知识。这些知识有助于学习者建立儿歌弹唱的基础框架。</w:t>
            </w:r>
          </w:p>
          <w:p w14:paraId="6F07394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2.儿歌弹唱实践训练：通过具体的儿歌曲目进行实操练习，包括正确的弹奏姿势和指法的示范，和弦转换、基本伴奏等技巧的演示，以及和声与伴奏技巧的讲解。</w:t>
            </w:r>
          </w:p>
          <w:p w14:paraId="1359B4F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3.儿歌创编与改编：教授学习者如何根据不同的教学需求对儿歌进行创作或改编，以增加教学的多样性和趣味性。</w:t>
            </w:r>
          </w:p>
          <w:p w14:paraId="1174855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4.儿歌弹唱教学方法探讨：分享有效的儿歌弹唱教学策略和方法，帮助教师更好地指导学生学习。</w:t>
            </w:r>
          </w:p>
          <w:p w14:paraId="2F3485AF">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5.儿歌弹唱在幼儿园教育中的应用：探讨如何将儿歌弹唱融入日常教学活动中，利用儿歌的教育功能促进幼儿全面发展。</w:t>
            </w:r>
          </w:p>
        </w:tc>
        <w:tc>
          <w:tcPr>
            <w:tcW w:w="2322" w:type="dxa"/>
            <w:shd w:val="clear" w:color="auto" w:fill="auto"/>
            <w:vAlign w:val="top"/>
          </w:tcPr>
          <w:p w14:paraId="5E1E54CB">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4374CB04">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教学方法：运用案例式教学、启发式教学、讨论式教学、主题演讲、情景教学法等多种互动教学方法进行。</w:t>
            </w:r>
          </w:p>
          <w:p w14:paraId="34C99B9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教学条件：多媒体教室和智慧校园平台。</w:t>
            </w:r>
          </w:p>
          <w:p w14:paraId="1FECD1FB">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评价建议：采取学习过程考核评定学习效果。</w:t>
            </w:r>
          </w:p>
        </w:tc>
      </w:tr>
      <w:tr w14:paraId="2C92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746CB10A">
            <w:pPr>
              <w:pageBreakBefore w:val="0"/>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家庭与社区教育</w:t>
            </w:r>
          </w:p>
        </w:tc>
        <w:tc>
          <w:tcPr>
            <w:tcW w:w="2767" w:type="dxa"/>
            <w:shd w:val="clear" w:color="auto" w:fill="auto"/>
            <w:vAlign w:val="top"/>
          </w:tcPr>
          <w:p w14:paraId="27A6FE45">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02AA079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理解家庭与社区教育的基础理论</w:t>
            </w:r>
          </w:p>
          <w:p w14:paraId="63A8D81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掌握家园共育与社区合作的方法策略</w:t>
            </w:r>
          </w:p>
          <w:p w14:paraId="6A210B44">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53D5345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家园沟通与协作能力</w:t>
            </w:r>
          </w:p>
          <w:p w14:paraId="72B9C6A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社区资源开发与整合能力</w:t>
            </w:r>
          </w:p>
          <w:p w14:paraId="31AC121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问题分析与解决能</w:t>
            </w:r>
          </w:p>
          <w:p w14:paraId="4986F28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力</w:t>
            </w:r>
          </w:p>
          <w:p w14:paraId="125DBFE1">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3.素养目标</w:t>
            </w:r>
          </w:p>
          <w:p w14:paraId="44907DB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树立正确的教育价值观</w:t>
            </w:r>
          </w:p>
          <w:p w14:paraId="7F4B75A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培养职业责任感与共情能力</w:t>
            </w:r>
          </w:p>
          <w:p w14:paraId="6E74D8DD">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强化创新与实践意识</w:t>
            </w:r>
          </w:p>
        </w:tc>
        <w:tc>
          <w:tcPr>
            <w:tcW w:w="2518" w:type="dxa"/>
            <w:shd w:val="clear" w:color="auto" w:fill="auto"/>
            <w:vAlign w:val="top"/>
          </w:tcPr>
          <w:p w14:paraId="711792A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1.家庭与社区教育基础理论</w:t>
            </w:r>
          </w:p>
          <w:p w14:paraId="0C74806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家庭与社区教育的本质与定位；理论基础与政策法规</w:t>
            </w:r>
          </w:p>
          <w:p w14:paraId="1DB1746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2.家庭沟通与家园共育实务</w:t>
            </w:r>
          </w:p>
          <w:p w14:paraId="48B6987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家园沟通技巧与策略</w:t>
            </w:r>
          </w:p>
          <w:p w14:paraId="29067BB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家园共育活动设计与组织</w:t>
            </w:r>
          </w:p>
          <w:p w14:paraId="454A520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特殊家庭的支持与指导</w:t>
            </w:r>
          </w:p>
          <w:p w14:paraId="69F2648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3.社区资源开发与教育活动设计</w:t>
            </w:r>
          </w:p>
          <w:p w14:paraId="71143CB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社区资源调研与评估</w:t>
            </w:r>
          </w:p>
          <w:p w14:paraId="187B8B6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社区教育活动设计与实施</w:t>
            </w:r>
          </w:p>
          <w:p w14:paraId="3AEAD88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社区合作机制建立</w:t>
            </w:r>
          </w:p>
          <w:p w14:paraId="2706FB9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4.家庭与社区教育问题与对策</w:t>
            </w:r>
          </w:p>
          <w:p w14:paraId="458ACA8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常见问题与解决策略</w:t>
            </w:r>
          </w:p>
          <w:p w14:paraId="0898168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家庭与社区教育评价</w:t>
            </w:r>
          </w:p>
          <w:p w14:paraId="6D2AAA3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5.实践与案例研讨</w:t>
            </w:r>
          </w:p>
          <w:p w14:paraId="07141F2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模拟实践与实训</w:t>
            </w:r>
          </w:p>
          <w:p w14:paraId="5B2676EE">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实地考察与案例分析</w:t>
            </w:r>
          </w:p>
        </w:tc>
        <w:tc>
          <w:tcPr>
            <w:tcW w:w="2322" w:type="dxa"/>
            <w:shd w:val="clear" w:color="auto" w:fill="auto"/>
            <w:vAlign w:val="top"/>
          </w:tcPr>
          <w:p w14:paraId="02F9DF3C">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7B628504">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教学方法：运用案例式教学、启发式教学、讨论式教学、主题演讲、情景教学法等多种互动教学方法进行。</w:t>
            </w:r>
          </w:p>
          <w:p w14:paraId="7724DF5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教学条件：多媒体教室和智慧校园平台。</w:t>
            </w:r>
          </w:p>
          <w:p w14:paraId="52ACCEF6">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评价建议：采取学习过程考核评定学习效果。</w:t>
            </w:r>
          </w:p>
        </w:tc>
      </w:tr>
      <w:tr w14:paraId="75EF3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4418CF30">
            <w:pPr>
              <w:pageBreakBefore w:val="0"/>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奥尔夫音乐教学法</w:t>
            </w:r>
          </w:p>
        </w:tc>
        <w:tc>
          <w:tcPr>
            <w:tcW w:w="2767" w:type="dxa"/>
            <w:shd w:val="clear" w:color="auto" w:fill="auto"/>
            <w:vAlign w:val="top"/>
          </w:tcPr>
          <w:p w14:paraId="3CD47109">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7F6F705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培养幼儿表达情感,感受音乐的能力；培养幼儿在音乐、图画、舞蹈、戏剧、文学等艺术方面的造诣及能力；发展幼儿的思维力、想像力、创造力</w:t>
            </w:r>
          </w:p>
          <w:p w14:paraId="057E2D2E">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2.能力目标：</w:t>
            </w:r>
          </w:p>
          <w:p w14:paraId="64B522D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发展演唱、演奏、舞蹈以及伴随音乐的游戏和动作表演活动中的人际沟通、协调、合作能力。体验集体音乐活动引发的积极向上的情绪、情感。</w:t>
            </w:r>
          </w:p>
          <w:p w14:paraId="7B0D884A">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3.素质目标：</w:t>
            </w:r>
          </w:p>
          <w:p w14:paraId="61ACE28D">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sz w:val="18"/>
                <w:szCs w:val="18"/>
              </w:rPr>
              <w:t>养成对音乐舞蹈作品、乐器、道具及表演游戏场面的初步责任意识，以及初步的演员、观众的责任意识。让幼儿体验音乐的快乐、感受音乐的美。发展对音乐、舞蹈、艺术的审美敏感性以及对周围生。</w:t>
            </w:r>
          </w:p>
        </w:tc>
        <w:tc>
          <w:tcPr>
            <w:tcW w:w="2518" w:type="dxa"/>
            <w:shd w:val="clear" w:color="auto" w:fill="auto"/>
            <w:vAlign w:val="top"/>
          </w:tcPr>
          <w:p w14:paraId="78545E71">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模块一：</w:t>
            </w:r>
            <w:r>
              <w:rPr>
                <w:rFonts w:hint="eastAsia" w:ascii="宋体" w:hAnsi="宋体" w:cs="宋体"/>
                <w:sz w:val="18"/>
                <w:szCs w:val="18"/>
              </w:rPr>
              <w:t>奥尔夫音乐教学的基本知识</w:t>
            </w:r>
          </w:p>
          <w:p w14:paraId="4BB94274">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模块二：</w:t>
            </w:r>
            <w:r>
              <w:rPr>
                <w:rFonts w:hint="eastAsia" w:ascii="宋体" w:hAnsi="宋体" w:cs="宋体"/>
                <w:sz w:val="18"/>
                <w:szCs w:val="18"/>
              </w:rPr>
              <w:t>奥尔夫音乐教学的概念、内容、意义</w:t>
            </w:r>
          </w:p>
          <w:p w14:paraId="42FE4EF6">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模块三：</w:t>
            </w:r>
            <w:r>
              <w:rPr>
                <w:rFonts w:hint="eastAsia" w:ascii="宋体" w:hAnsi="宋体" w:cs="宋体"/>
                <w:sz w:val="18"/>
                <w:szCs w:val="18"/>
              </w:rPr>
              <w:t>奥尔夫音乐表现形式与编排</w:t>
            </w:r>
          </w:p>
          <w:p w14:paraId="7EFF0C5B">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模块四：</w:t>
            </w:r>
            <w:r>
              <w:rPr>
                <w:rFonts w:hint="eastAsia" w:ascii="宋体" w:hAnsi="宋体" w:cs="宋体"/>
                <w:sz w:val="18"/>
                <w:szCs w:val="18"/>
              </w:rPr>
              <w:t>音乐欣赏教学法</w:t>
            </w:r>
            <w:r>
              <w:rPr>
                <w:rFonts w:hint="eastAsia" w:ascii="宋体" w:hAnsi="宋体" w:cs="宋体"/>
                <w:bCs/>
                <w:sz w:val="18"/>
                <w:szCs w:val="18"/>
              </w:rPr>
              <w:t>模块五：</w:t>
            </w:r>
            <w:r>
              <w:rPr>
                <w:rFonts w:hint="eastAsia" w:ascii="宋体" w:hAnsi="宋体" w:cs="宋体"/>
                <w:sz w:val="18"/>
                <w:szCs w:val="18"/>
              </w:rPr>
              <w:t>音乐课计划的制订</w:t>
            </w:r>
          </w:p>
        </w:tc>
        <w:tc>
          <w:tcPr>
            <w:tcW w:w="2322" w:type="dxa"/>
            <w:shd w:val="clear" w:color="auto" w:fill="auto"/>
            <w:vAlign w:val="top"/>
          </w:tcPr>
          <w:p w14:paraId="19DBE935">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62C863DD">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教学方法：运用案例式教学、启发式教学、讨论式教学、主题演讲、情景教学法等多种互动教学方法进行。</w:t>
            </w:r>
          </w:p>
          <w:p w14:paraId="6D4B957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教学条件：多媒体教室和智慧校园平台。</w:t>
            </w:r>
          </w:p>
          <w:p w14:paraId="120515B7">
            <w:pPr>
              <w:pageBreakBefore w:val="0"/>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评价建议：采取学习过程考核评定学习效果。</w:t>
            </w:r>
          </w:p>
        </w:tc>
      </w:tr>
      <w:tr w14:paraId="3C20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shd w:val="clear" w:color="auto" w:fill="auto"/>
            <w:vAlign w:val="center"/>
          </w:tcPr>
          <w:p w14:paraId="24637663">
            <w:pPr>
              <w:pageBreakBefore w:val="0"/>
              <w:kinsoku/>
              <w:wordWrap/>
              <w:overflowPunct/>
              <w:topLinePunct w:val="0"/>
              <w:bidi w:val="0"/>
              <w:spacing w:line="360" w:lineRule="exact"/>
              <w:jc w:val="center"/>
              <w:rPr>
                <w:rFonts w:ascii="宋体" w:hAnsi="宋体" w:eastAsia="宋体" w:cs="宋体"/>
                <w:b/>
                <w:bCs/>
                <w:color w:val="0000FF"/>
                <w:kern w:val="0"/>
                <w:sz w:val="18"/>
                <w:szCs w:val="18"/>
                <w:lang w:val="en-US" w:eastAsia="zh-CN" w:bidi="ar-SA"/>
              </w:rPr>
            </w:pPr>
            <w:r>
              <w:rPr>
                <w:rFonts w:hint="eastAsia" w:ascii="宋体" w:hAnsi="宋体" w:cs="宋体"/>
                <w:b/>
                <w:bCs/>
                <w:color w:val="000000" w:themeColor="text1"/>
                <w:kern w:val="0"/>
                <w:sz w:val="18"/>
                <w:szCs w:val="18"/>
                <w14:textFill>
                  <w14:solidFill>
                    <w14:schemeClr w14:val="tx1"/>
                  </w14:solidFill>
                </w14:textFill>
              </w:rPr>
              <w:t>0-3</w:t>
            </w:r>
            <w:r>
              <w:rPr>
                <w:rFonts w:hint="eastAsia" w:ascii="宋体" w:hAnsi="宋体" w:cs="宋体"/>
                <w:b/>
                <w:bCs/>
                <w:kern w:val="0"/>
                <w:sz w:val="18"/>
                <w:szCs w:val="18"/>
              </w:rPr>
              <w:t>岁婴幼儿保育与教育</w:t>
            </w:r>
          </w:p>
        </w:tc>
        <w:tc>
          <w:tcPr>
            <w:tcW w:w="2767" w:type="dxa"/>
            <w:shd w:val="clear" w:color="auto" w:fill="auto"/>
            <w:vAlign w:val="top"/>
          </w:tcPr>
          <w:p w14:paraId="6E43D695">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1.知识目标</w:t>
            </w:r>
          </w:p>
          <w:p w14:paraId="00E8B0D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 0-3 岁婴幼儿身心发展规律</w:t>
            </w:r>
          </w:p>
          <w:p w14:paraId="432D7118">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理解保育与教育的融合理念</w:t>
            </w:r>
          </w:p>
          <w:p w14:paraId="38E217C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熟悉婴幼儿照护的政策与规范</w:t>
            </w:r>
          </w:p>
          <w:p w14:paraId="4DF9C29E">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2.技能目标</w:t>
            </w:r>
          </w:p>
          <w:p w14:paraId="2FA06AD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具备专业保育操作能力</w:t>
            </w:r>
          </w:p>
          <w:p w14:paraId="5D5F08D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能设计与实施适宜的早期教育活动</w:t>
            </w:r>
          </w:p>
          <w:p w14:paraId="5516C73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具备家园沟通与指导能力</w:t>
            </w:r>
          </w:p>
          <w:p w14:paraId="293FA817">
            <w:pPr>
              <w:pageBreakBefore w:val="0"/>
              <w:kinsoku/>
              <w:wordWrap/>
              <w:overflowPunct/>
              <w:topLinePunct w:val="0"/>
              <w:bidi w:val="0"/>
              <w:spacing w:line="360" w:lineRule="exact"/>
              <w:rPr>
                <w:rFonts w:ascii="宋体" w:hAnsi="宋体" w:cs="宋体"/>
                <w:b/>
                <w:sz w:val="18"/>
                <w:szCs w:val="18"/>
              </w:rPr>
            </w:pPr>
            <w:r>
              <w:rPr>
                <w:rFonts w:hint="eastAsia" w:ascii="宋体" w:hAnsi="宋体" w:cs="宋体"/>
                <w:b/>
                <w:sz w:val="18"/>
                <w:szCs w:val="18"/>
              </w:rPr>
              <w:t>3.素养目标</w:t>
            </w:r>
          </w:p>
          <w:p w14:paraId="1C9E22B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树立以婴幼儿为中心的照护理念</w:t>
            </w:r>
          </w:p>
          <w:p w14:paraId="3BEFA38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培养职业责任感与伦理意识</w:t>
            </w:r>
          </w:p>
          <w:p w14:paraId="391830FE">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激发对早期教育的职业认同与创新思维</w:t>
            </w:r>
          </w:p>
        </w:tc>
        <w:tc>
          <w:tcPr>
            <w:tcW w:w="2518" w:type="dxa"/>
            <w:shd w:val="clear" w:color="auto" w:fill="auto"/>
            <w:vAlign w:val="top"/>
          </w:tcPr>
          <w:p w14:paraId="3D50C25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1.基础理论模块：认识 0-3 岁婴幼儿</w:t>
            </w:r>
          </w:p>
          <w:p w14:paraId="4846F49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婴幼儿身心发展规律</w:t>
            </w:r>
          </w:p>
          <w:p w14:paraId="18F2FF0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保育与教育的基本理念</w:t>
            </w:r>
          </w:p>
          <w:p w14:paraId="1D6179A4">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2.保育技能模块：科学照护婴幼儿</w:t>
            </w:r>
          </w:p>
          <w:p w14:paraId="7F574B4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生活照料实操</w:t>
            </w:r>
          </w:p>
          <w:p w14:paraId="559620D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健康管理与急救</w:t>
            </w:r>
          </w:p>
          <w:p w14:paraId="612A90F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3.早期教育模块：设计与实施适宜活动</w:t>
            </w:r>
          </w:p>
          <w:p w14:paraId="7227F8A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分龄活动设计与案例</w:t>
            </w:r>
          </w:p>
          <w:p w14:paraId="7F244E0C">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活动组织与观察评价</w:t>
            </w:r>
          </w:p>
          <w:p w14:paraId="509FC1D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4.家园共育模块：与家庭和社区协作</w:t>
            </w:r>
          </w:p>
          <w:p w14:paraId="6B87535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家庭育儿指导</w:t>
            </w:r>
          </w:p>
          <w:p w14:paraId="0FE1F470">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社区资源整合</w:t>
            </w:r>
          </w:p>
        </w:tc>
        <w:tc>
          <w:tcPr>
            <w:tcW w:w="2322" w:type="dxa"/>
            <w:shd w:val="clear" w:color="auto" w:fill="auto"/>
            <w:vAlign w:val="top"/>
          </w:tcPr>
          <w:p w14:paraId="59A07648">
            <w:pPr>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教学模式：按照专业注重个性化指导，注重教学时效性、针对性。合理选用教学素材与多维立体化资源，采取“教学做一体”的教学模式。</w:t>
            </w:r>
          </w:p>
          <w:p w14:paraId="4CF0E7B3">
            <w:pPr>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教学方法：运用案例式教学、启发式教学、讨论式教学、主题演讲、情景教学法等多种互动教学方法进行。</w:t>
            </w:r>
          </w:p>
          <w:p w14:paraId="6DD4E12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教学条件：多媒体教室和智慧校园平台。</w:t>
            </w:r>
          </w:p>
          <w:p w14:paraId="61EEB438">
            <w:pPr>
              <w:pageBreakBefore w:val="0"/>
              <w:kinsoku/>
              <w:wordWrap/>
              <w:overflowPunct/>
              <w:topLinePunct w:val="0"/>
              <w:bidi w:val="0"/>
              <w:spacing w:line="360" w:lineRule="exact"/>
              <w:rPr>
                <w:rFonts w:ascii="宋体" w:hAnsi="宋体" w:eastAsia="宋体" w:cs="宋体"/>
                <w:bCs/>
                <w:kern w:val="2"/>
                <w:sz w:val="18"/>
                <w:szCs w:val="18"/>
                <w:lang w:val="en-US" w:eastAsia="zh-CN" w:bidi="ar-SA"/>
              </w:rPr>
            </w:pPr>
            <w:r>
              <w:rPr>
                <w:rFonts w:hint="eastAsia" w:ascii="宋体" w:hAnsi="宋体" w:cs="宋体"/>
                <w:bCs/>
                <w:sz w:val="18"/>
                <w:szCs w:val="18"/>
              </w:rPr>
              <w:t>评价建议：采取学习过程考核评定学习效果。</w:t>
            </w:r>
          </w:p>
        </w:tc>
      </w:tr>
      <w:tr w14:paraId="514A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Align w:val="center"/>
          </w:tcPr>
          <w:p w14:paraId="284707B3">
            <w:pPr>
              <w:pageBreakBefore w:val="0"/>
              <w:kinsoku/>
              <w:wordWrap/>
              <w:overflowPunct/>
              <w:topLinePunct w:val="0"/>
              <w:bidi w:val="0"/>
              <w:spacing w:line="360" w:lineRule="exact"/>
              <w:jc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学前教育政策法规</w:t>
            </w:r>
          </w:p>
        </w:tc>
        <w:tc>
          <w:tcPr>
            <w:tcW w:w="2767" w:type="dxa"/>
          </w:tcPr>
          <w:p w14:paraId="11C80A42">
            <w:pPr>
              <w:pageBreakBefore w:val="0"/>
              <w:numPr>
                <w:ilvl w:val="0"/>
                <w:numId w:val="2"/>
              </w:numPr>
              <w:kinsoku/>
              <w:wordWrap/>
              <w:overflowPunct/>
              <w:topLinePunct w:val="0"/>
              <w:bidi w:val="0"/>
              <w:spacing w:line="360" w:lineRule="exact"/>
              <w:rPr>
                <w:rFonts w:hint="eastAsia" w:ascii="宋体" w:hAnsi="宋体" w:cs="宋体"/>
                <w:b/>
                <w:bCs w:val="0"/>
                <w:sz w:val="18"/>
                <w:szCs w:val="18"/>
              </w:rPr>
            </w:pPr>
            <w:r>
              <w:rPr>
                <w:rFonts w:hint="eastAsia" w:ascii="宋体" w:hAnsi="宋体" w:cs="宋体"/>
                <w:b/>
                <w:bCs w:val="0"/>
                <w:sz w:val="18"/>
                <w:szCs w:val="18"/>
              </w:rPr>
              <w:t>知识目标</w:t>
            </w:r>
          </w:p>
          <w:p w14:paraId="36068AB2">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掌握学前教育政策法规体系与发展脉络，熟记核心法规（如《未成年人保护法》《幼儿园工作规程》）的关键条款，明确政策法规的价值取向。​ </w:t>
            </w:r>
          </w:p>
          <w:p w14:paraId="422462AF">
            <w:pPr>
              <w:pageBreakBefore w:val="0"/>
              <w:numPr>
                <w:ilvl w:val="0"/>
                <w:numId w:val="2"/>
              </w:numPr>
              <w:kinsoku/>
              <w:wordWrap/>
              <w:overflowPunct/>
              <w:topLinePunct w:val="0"/>
              <w:bidi w:val="0"/>
              <w:spacing w:line="360" w:lineRule="exact"/>
              <w:ind w:left="0" w:leftChars="0" w:firstLine="0" w:firstLineChars="0"/>
              <w:rPr>
                <w:rFonts w:hint="eastAsia" w:ascii="宋体" w:hAnsi="宋体" w:cs="宋体"/>
                <w:b/>
                <w:bCs w:val="0"/>
                <w:sz w:val="18"/>
                <w:szCs w:val="18"/>
              </w:rPr>
            </w:pPr>
            <w:r>
              <w:rPr>
                <w:rFonts w:hint="eastAsia" w:ascii="宋体" w:hAnsi="宋体" w:cs="宋体"/>
                <w:b/>
                <w:bCs w:val="0"/>
                <w:sz w:val="18"/>
                <w:szCs w:val="18"/>
              </w:rPr>
              <w:t>能力目标</w:t>
            </w:r>
          </w:p>
          <w:p w14:paraId="7DD1B192">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能运用法规分析学前教育实践问题（如幼儿权益纠纷），具备辨别违法行为、提出基础法律建议的能力，可解读最新政策动态。</w:t>
            </w:r>
            <w:r>
              <w:rPr>
                <w:rFonts w:hint="eastAsia" w:ascii="宋体" w:hAnsi="宋体" w:cs="宋体"/>
                <w:b/>
                <w:bCs w:val="0"/>
                <w:sz w:val="18"/>
                <w:szCs w:val="18"/>
                <w:lang w:val="en-US" w:eastAsia="zh-CN"/>
              </w:rPr>
              <w:t>3.</w:t>
            </w:r>
            <w:r>
              <w:rPr>
                <w:rFonts w:hint="eastAsia" w:ascii="宋体" w:hAnsi="宋体" w:cs="宋体"/>
                <w:b/>
                <w:bCs w:val="0"/>
                <w:sz w:val="18"/>
                <w:szCs w:val="18"/>
              </w:rPr>
              <w:t>素养目标</w:t>
            </w:r>
          </w:p>
          <w:p w14:paraId="09B53943">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树立依法治教理念，强化幼儿权利保护意识（生命健康权、受教育权），培养学前教育专业伦理与法治责任感。</w:t>
            </w:r>
          </w:p>
        </w:tc>
        <w:tc>
          <w:tcPr>
            <w:tcW w:w="2518" w:type="dxa"/>
          </w:tcPr>
          <w:p w14:paraId="730CEF1B">
            <w:pPr>
              <w:pageBreakBefore w:val="0"/>
              <w:numPr>
                <w:ilvl w:val="0"/>
                <w:numId w:val="3"/>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基础理论模块​ </w:t>
            </w:r>
          </w:p>
          <w:p w14:paraId="53F83385">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核心知识：政策法规基本概念、体系结构（教育政策与法律的区别与联系）、学前教育法治发展历程；​ 学习重点：理解政策法规背后的教育理念（如儿童为本），厘清教育法律关系的构成要素。​ </w:t>
            </w:r>
          </w:p>
          <w:p w14:paraId="287A6DAA">
            <w:pPr>
              <w:pageBreakBefore w:val="0"/>
              <w:numPr>
                <w:ilvl w:val="0"/>
                <w:numId w:val="3"/>
              </w:numPr>
              <w:kinsoku/>
              <w:wordWrap/>
              <w:overflowPunct/>
              <w:topLinePunct w:val="0"/>
              <w:bidi w:val="0"/>
              <w:spacing w:line="360" w:lineRule="exact"/>
              <w:ind w:left="0" w:leftChars="0" w:firstLine="0" w:firstLineChars="0"/>
              <w:rPr>
                <w:rFonts w:hint="eastAsia" w:ascii="宋体" w:hAnsi="宋体" w:cs="宋体"/>
                <w:bCs/>
                <w:sz w:val="18"/>
                <w:szCs w:val="18"/>
              </w:rPr>
            </w:pPr>
            <w:r>
              <w:rPr>
                <w:rFonts w:hint="eastAsia" w:ascii="宋体" w:hAnsi="宋体" w:cs="宋体"/>
                <w:bCs/>
                <w:sz w:val="18"/>
                <w:szCs w:val="18"/>
              </w:rPr>
              <w:t xml:space="preserve">核心法规模块​ </w:t>
            </w:r>
          </w:p>
          <w:p w14:paraId="1F730BA7">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重点法规：《中华人民共和国教育法》《未成年人保护法》《幼儿园工作规程》《3-6 岁儿童学习与发展指南》等核心内容；​ </w:t>
            </w:r>
          </w:p>
          <w:p w14:paraId="63BE4C2D">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聚焦方向：幼儿与教师的权利义务、幼儿园设立与管理规范、安全保障与应急处置要求。​ </w:t>
            </w:r>
          </w:p>
          <w:p w14:paraId="7EA69D36">
            <w:pPr>
              <w:pageBreakBefore w:val="0"/>
              <w:numPr>
                <w:ilvl w:val="0"/>
                <w:numId w:val="3"/>
              </w:numPr>
              <w:kinsoku/>
              <w:wordWrap/>
              <w:overflowPunct/>
              <w:topLinePunct w:val="0"/>
              <w:bidi w:val="0"/>
              <w:spacing w:line="360" w:lineRule="exact"/>
              <w:ind w:left="0" w:leftChars="0" w:firstLine="0" w:firstLineChars="0"/>
              <w:rPr>
                <w:rFonts w:hint="eastAsia" w:ascii="宋体" w:hAnsi="宋体" w:cs="宋体"/>
                <w:bCs/>
                <w:sz w:val="18"/>
                <w:szCs w:val="18"/>
              </w:rPr>
            </w:pPr>
            <w:r>
              <w:rPr>
                <w:rFonts w:hint="eastAsia" w:ascii="宋体" w:hAnsi="宋体" w:cs="宋体"/>
                <w:bCs/>
                <w:sz w:val="18"/>
                <w:szCs w:val="18"/>
              </w:rPr>
              <w:t xml:space="preserve">实践应用模块​ </w:t>
            </w:r>
          </w:p>
          <w:p w14:paraId="2982B1B6">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案例分析：幼儿安全事故责任认定、师资聘用纠纷、教育教学违规等典型案例拆解；​ 场景应用：政策法规在幼儿园保教活动、卫生保健、家长沟通中的具体应用要点。</w:t>
            </w:r>
          </w:p>
        </w:tc>
        <w:tc>
          <w:tcPr>
            <w:tcW w:w="2322" w:type="dxa"/>
          </w:tcPr>
          <w:p w14:paraId="7318FAD7">
            <w:pPr>
              <w:pageBreakBefore w:val="0"/>
              <w:numPr>
                <w:ilvl w:val="0"/>
                <w:numId w:val="4"/>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教师要求​ </w:t>
            </w:r>
          </w:p>
          <w:p w14:paraId="2EDF56AC">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教学实施：按 “理论→法规→案例” 循序渐进，采用讲授法结合案例讨论、政策辩论等互动形式，补充最新政策文件。​ </w:t>
            </w:r>
          </w:p>
          <w:p w14:paraId="09133D22">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内容把控：突出法规实用性，聚焦幼儿园高频法律问题，结合《学前教育法规的理论与实践》等教材拓展案例库。​ </w:t>
            </w:r>
          </w:p>
          <w:p w14:paraId="7C8847D3">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评价反馈：通过案例分析报告、法规应用测试评估学习效果，课后针对实践问题提供精准指导。​ </w:t>
            </w:r>
          </w:p>
          <w:p w14:paraId="077F7E52">
            <w:pPr>
              <w:pageBreakBefore w:val="0"/>
              <w:numPr>
                <w:ilvl w:val="0"/>
                <w:numId w:val="4"/>
              </w:numPr>
              <w:kinsoku/>
              <w:wordWrap/>
              <w:overflowPunct/>
              <w:topLinePunct w:val="0"/>
              <w:bidi w:val="0"/>
              <w:spacing w:line="360" w:lineRule="exact"/>
              <w:ind w:left="0" w:leftChars="0" w:firstLine="0" w:firstLineChars="0"/>
              <w:rPr>
                <w:rFonts w:hint="eastAsia" w:ascii="宋体" w:hAnsi="宋体" w:cs="宋体"/>
                <w:bCs/>
                <w:sz w:val="18"/>
                <w:szCs w:val="18"/>
              </w:rPr>
            </w:pPr>
            <w:r>
              <w:rPr>
                <w:rFonts w:hint="eastAsia" w:ascii="宋体" w:hAnsi="宋体" w:cs="宋体"/>
                <w:bCs/>
                <w:sz w:val="18"/>
                <w:szCs w:val="18"/>
              </w:rPr>
              <w:t xml:space="preserve">学生要求​ </w:t>
            </w:r>
          </w:p>
          <w:p w14:paraId="021B5E50">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知识掌握：熟记核心法规关键条款，能梳理政策法规体系框架，理解幼儿权利保护的核心要义。​ </w:t>
            </w:r>
          </w:p>
          <w:p w14:paraId="1C15453F">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实践参与：积极参与案例讨论，主动搜集最新学前教育政策，完成 1 份实践问题法规解决方案。​ </w:t>
            </w:r>
          </w:p>
          <w:p w14:paraId="071701EE">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素养养成：树立 “依法保教” 意识，在模拟场景中规范运用法规分析问题，养成关注政策动态的习惯。</w:t>
            </w:r>
          </w:p>
        </w:tc>
      </w:tr>
      <w:tr w14:paraId="54BB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9" w:type="dxa"/>
            <w:vAlign w:val="center"/>
          </w:tcPr>
          <w:p w14:paraId="6AE137AB">
            <w:pPr>
              <w:pageBreakBefore w:val="0"/>
              <w:kinsoku/>
              <w:wordWrap/>
              <w:overflowPunct/>
              <w:topLinePunct w:val="0"/>
              <w:bidi w:val="0"/>
              <w:spacing w:line="360" w:lineRule="exact"/>
              <w:jc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学前儿童融合教育</w:t>
            </w:r>
          </w:p>
        </w:tc>
        <w:tc>
          <w:tcPr>
            <w:tcW w:w="2767" w:type="dxa"/>
          </w:tcPr>
          <w:p w14:paraId="1364BA4F">
            <w:pPr>
              <w:pageBreakBefore w:val="0"/>
              <w:numPr>
                <w:ilvl w:val="0"/>
                <w:numId w:val="5"/>
              </w:numPr>
              <w:kinsoku/>
              <w:wordWrap/>
              <w:overflowPunct/>
              <w:topLinePunct w:val="0"/>
              <w:bidi w:val="0"/>
              <w:spacing w:line="360" w:lineRule="exact"/>
              <w:ind w:leftChars="0"/>
              <w:rPr>
                <w:rFonts w:hint="eastAsia" w:ascii="宋体" w:hAnsi="宋体" w:cs="宋体"/>
                <w:b/>
                <w:bCs w:val="0"/>
                <w:sz w:val="18"/>
                <w:szCs w:val="18"/>
              </w:rPr>
            </w:pPr>
            <w:r>
              <w:rPr>
                <w:rFonts w:hint="eastAsia" w:ascii="宋体" w:hAnsi="宋体" w:cs="宋体"/>
                <w:b/>
                <w:bCs w:val="0"/>
                <w:sz w:val="18"/>
                <w:szCs w:val="18"/>
              </w:rPr>
              <w:t>知识目标</w:t>
            </w:r>
          </w:p>
          <w:p w14:paraId="568A08BB">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掌握融合教育核心概念（如 IEP 个别化教育计划）、学前特殊需要儿童类型（自闭症、发育迟缓等）及发展特点，明晰融合教育政策依据（如《“十四五” 特殊教育发展提升行动计划》）。​ </w:t>
            </w:r>
          </w:p>
          <w:p w14:paraId="2E7F8338">
            <w:pPr>
              <w:pageBreakBefore w:val="0"/>
              <w:numPr>
                <w:ilvl w:val="0"/>
                <w:numId w:val="5"/>
              </w:numPr>
              <w:kinsoku/>
              <w:wordWrap/>
              <w:overflowPunct/>
              <w:topLinePunct w:val="0"/>
              <w:bidi w:val="0"/>
              <w:spacing w:line="360" w:lineRule="exact"/>
              <w:ind w:left="0" w:leftChars="0" w:firstLine="0" w:firstLineChars="0"/>
              <w:rPr>
                <w:rFonts w:hint="eastAsia" w:ascii="宋体" w:hAnsi="宋体" w:cs="宋体"/>
                <w:b/>
                <w:bCs w:val="0"/>
                <w:sz w:val="18"/>
                <w:szCs w:val="18"/>
              </w:rPr>
            </w:pPr>
            <w:r>
              <w:rPr>
                <w:rFonts w:hint="eastAsia" w:ascii="宋体" w:hAnsi="宋体" w:cs="宋体"/>
                <w:b/>
                <w:bCs w:val="0"/>
                <w:sz w:val="18"/>
                <w:szCs w:val="18"/>
              </w:rPr>
              <w:t>能力目标</w:t>
            </w:r>
          </w:p>
          <w:p w14:paraId="052FDEA4">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能初步识别特殊需要儿童的发展需求，设计简易融合教育活动方案，具备与特殊儿童家长、康复师协作的基础能力。​ </w:t>
            </w:r>
          </w:p>
          <w:p w14:paraId="2AB62226">
            <w:pPr>
              <w:pageBreakBefore w:val="0"/>
              <w:numPr>
                <w:ilvl w:val="0"/>
                <w:numId w:val="5"/>
              </w:numPr>
              <w:kinsoku/>
              <w:wordWrap/>
              <w:overflowPunct/>
              <w:topLinePunct w:val="0"/>
              <w:bidi w:val="0"/>
              <w:spacing w:line="360" w:lineRule="exact"/>
              <w:ind w:left="0" w:leftChars="0" w:firstLine="0" w:firstLineChars="0"/>
              <w:rPr>
                <w:rFonts w:hint="eastAsia" w:ascii="宋体" w:hAnsi="宋体" w:cs="宋体"/>
                <w:b/>
                <w:bCs w:val="0"/>
                <w:sz w:val="18"/>
                <w:szCs w:val="18"/>
              </w:rPr>
            </w:pPr>
            <w:r>
              <w:rPr>
                <w:rFonts w:hint="eastAsia" w:ascii="宋体" w:hAnsi="宋体" w:cs="宋体"/>
                <w:b/>
                <w:bCs w:val="0"/>
                <w:sz w:val="18"/>
                <w:szCs w:val="18"/>
              </w:rPr>
              <w:t>素养目标</w:t>
            </w:r>
          </w:p>
          <w:p w14:paraId="7575FC22">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树立 “全纳平等” 教育理念，消除对特殊儿童的偏见，培养尊重差异、关注每一位儿童发展的教育责任感。</w:t>
            </w:r>
          </w:p>
        </w:tc>
        <w:tc>
          <w:tcPr>
            <w:tcW w:w="2518" w:type="dxa"/>
          </w:tcPr>
          <w:p w14:paraId="3F92D11E">
            <w:pPr>
              <w:pageBreakBefore w:val="0"/>
              <w:numPr>
                <w:ilvl w:val="0"/>
                <w:numId w:val="6"/>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基础认知模块​ </w:t>
            </w:r>
          </w:p>
          <w:p w14:paraId="37496912">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核心知识：融合教育的起源与发展、学前特殊需要儿童常见类型（自闭症、智力障碍、肢体残疾等）及核心特征；​ </w:t>
            </w:r>
          </w:p>
          <w:p w14:paraId="6D8D19A0">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学习重点：理解 “最少限制环境”“个别化支持” 等理念，掌握特殊儿童发展评估的基础方法（如观察评估、简易量表使用）。​ </w:t>
            </w:r>
          </w:p>
          <w:p w14:paraId="028339C7">
            <w:pPr>
              <w:pageBreakBefore w:val="0"/>
              <w:numPr>
                <w:ilvl w:val="0"/>
                <w:numId w:val="6"/>
              </w:numPr>
              <w:kinsoku/>
              <w:wordWrap/>
              <w:overflowPunct/>
              <w:topLinePunct w:val="0"/>
              <w:bidi w:val="0"/>
              <w:spacing w:line="360" w:lineRule="exact"/>
              <w:ind w:left="0" w:leftChars="0" w:firstLine="0" w:firstLineChars="0"/>
              <w:rPr>
                <w:rFonts w:hint="eastAsia" w:ascii="宋体" w:hAnsi="宋体" w:cs="宋体"/>
                <w:bCs/>
                <w:sz w:val="18"/>
                <w:szCs w:val="18"/>
              </w:rPr>
            </w:pPr>
            <w:r>
              <w:rPr>
                <w:rFonts w:hint="eastAsia" w:ascii="宋体" w:hAnsi="宋体" w:cs="宋体"/>
                <w:bCs/>
                <w:sz w:val="18"/>
                <w:szCs w:val="18"/>
              </w:rPr>
              <w:t xml:space="preserve">核心策略模块​ </w:t>
            </w:r>
          </w:p>
          <w:p w14:paraId="0EF99456">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教学策略：差异化教学（集体活动中分层设计目标）、辅助技术应用（如视觉提示卡、沟通板）、行为支持策略（正向行为干预）；​ </w:t>
            </w:r>
          </w:p>
          <w:p w14:paraId="79C6628A">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支持方法：同伴互助（普通儿童与特殊儿童结对）、家园协同（与特殊儿童家长制定共育计划）、跨专业协作（与康复师衔接康复目标）。​ </w:t>
            </w:r>
          </w:p>
          <w:p w14:paraId="6542227A">
            <w:pPr>
              <w:pageBreakBefore w:val="0"/>
              <w:numPr>
                <w:ilvl w:val="0"/>
                <w:numId w:val="6"/>
              </w:numPr>
              <w:kinsoku/>
              <w:wordWrap/>
              <w:overflowPunct/>
              <w:topLinePunct w:val="0"/>
              <w:bidi w:val="0"/>
              <w:spacing w:line="360" w:lineRule="exact"/>
              <w:ind w:left="0" w:leftChars="0" w:firstLine="0" w:firstLineChars="0"/>
              <w:rPr>
                <w:rFonts w:hint="eastAsia" w:ascii="宋体" w:hAnsi="宋体" w:cs="宋体"/>
                <w:bCs/>
                <w:sz w:val="18"/>
                <w:szCs w:val="18"/>
              </w:rPr>
            </w:pPr>
            <w:r>
              <w:rPr>
                <w:rFonts w:hint="eastAsia" w:ascii="宋体" w:hAnsi="宋体" w:cs="宋体"/>
                <w:bCs/>
                <w:sz w:val="18"/>
                <w:szCs w:val="18"/>
              </w:rPr>
              <w:t xml:space="preserve">实践应用模块​ </w:t>
            </w:r>
          </w:p>
          <w:p w14:paraId="3C5ADC4F">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场景设计：融合教育集体教学活动设计（如语言、艺术领域）、区角游戏适配调整（如为肢体残疾儿童改造操作材料）；​ </w:t>
            </w:r>
          </w:p>
          <w:p w14:paraId="6E858CDB">
            <w:pPr>
              <w:pageBreakBefore w:val="0"/>
              <w:numPr>
                <w:ilvl w:val="0"/>
                <w:numId w:val="0"/>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案例分析：特殊儿童入园适应、同伴交往冲突、行为问题干预等典型案例拆解，提炼解决方案。</w:t>
            </w:r>
          </w:p>
        </w:tc>
        <w:tc>
          <w:tcPr>
            <w:tcW w:w="2322" w:type="dxa"/>
          </w:tcPr>
          <w:p w14:paraId="190CAE03">
            <w:pPr>
              <w:pageBreakBefore w:val="0"/>
              <w:numPr>
                <w:ilvl w:val="0"/>
                <w:numId w:val="7"/>
              </w:numPr>
              <w:kinsoku/>
              <w:wordWrap/>
              <w:overflowPunct/>
              <w:topLinePunct w:val="0"/>
              <w:bidi w:val="0"/>
              <w:spacing w:line="360" w:lineRule="exact"/>
              <w:ind w:leftChars="0"/>
              <w:rPr>
                <w:rFonts w:hint="eastAsia" w:ascii="宋体" w:hAnsi="宋体" w:cs="宋体"/>
                <w:bCs/>
                <w:sz w:val="18"/>
                <w:szCs w:val="18"/>
              </w:rPr>
            </w:pPr>
            <w:r>
              <w:rPr>
                <w:rFonts w:hint="eastAsia" w:ascii="宋体" w:hAnsi="宋体" w:cs="宋体"/>
                <w:bCs/>
                <w:sz w:val="18"/>
                <w:szCs w:val="18"/>
              </w:rPr>
              <w:t xml:space="preserve">教师要求​ </w:t>
            </w:r>
          </w:p>
          <w:p w14:paraId="568539EE">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教学实施：按 “认知→策略→实践” 循序渐进，采用案例教学、模拟课堂、实地观摩（如参观融合幼儿园）等形式，补充最新政策与实践案例。​ </w:t>
            </w:r>
          </w:p>
          <w:p w14:paraId="0B8178DE">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内容把控：聚焦幼儿园真实场景需求，结合《学前融合教育理论与实践》等教材，引入一线教师、康复师分享经验。​ </w:t>
            </w:r>
          </w:p>
          <w:p w14:paraId="09569BED">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评价反馈：通过活动方案设计、案例分析报告评估学习效果，针对实践中的策略应用问题提供个性化指导。​ </w:t>
            </w:r>
            <w:r>
              <w:rPr>
                <w:rFonts w:hint="eastAsia" w:ascii="宋体" w:hAnsi="宋体" w:cs="宋体"/>
                <w:bCs/>
                <w:sz w:val="18"/>
                <w:szCs w:val="18"/>
                <w:lang w:val="en-US" w:eastAsia="zh-CN"/>
              </w:rPr>
              <w:t>2.</w:t>
            </w:r>
            <w:r>
              <w:rPr>
                <w:rFonts w:hint="eastAsia" w:ascii="宋体" w:hAnsi="宋体" w:cs="宋体"/>
                <w:bCs/>
                <w:sz w:val="18"/>
                <w:szCs w:val="18"/>
              </w:rPr>
              <w:t xml:space="preserve">学生要求​ </w:t>
            </w:r>
          </w:p>
          <w:p w14:paraId="15B2EF26">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知识掌握：熟记融合教育核心概念与政策要点，能区分不同类型特殊儿童的发展特点，理解差异化教学的核心逻辑。​ </w:t>
            </w:r>
          </w:p>
          <w:p w14:paraId="14A1630F">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实践参与：积极参与模拟教学、案例讨论，主动搜集融合教育实践案例，完成 1 份针对特殊儿童的简易活动方案设计。​ </w:t>
            </w:r>
          </w:p>
          <w:p w14:paraId="7896C067">
            <w:pPr>
              <w:pageBreakBefore w:val="0"/>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素养养成：树立 “全纳” 理念，避免对特殊儿童的刻板印象，在实践模拟中注重尊重儿童差异，养成关注每一位儿童需求的习惯。</w:t>
            </w:r>
          </w:p>
        </w:tc>
      </w:tr>
    </w:tbl>
    <w:p w14:paraId="7D7A8BEF">
      <w:pPr>
        <w:pageBreakBefore w:val="0"/>
        <w:kinsoku/>
        <w:wordWrap/>
        <w:overflowPunct/>
        <w:topLinePunct w:val="0"/>
        <w:bidi w:val="0"/>
        <w:spacing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2330"/>
        <w:gridCol w:w="2302"/>
        <w:gridCol w:w="3058"/>
      </w:tblGrid>
      <w:tr w14:paraId="5BC76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6" w:type="dxa"/>
            <w:vAlign w:val="center"/>
          </w:tcPr>
          <w:p w14:paraId="4E835EB9">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课程名称</w:t>
            </w:r>
          </w:p>
        </w:tc>
        <w:tc>
          <w:tcPr>
            <w:tcW w:w="2330" w:type="dxa"/>
            <w:vAlign w:val="center"/>
          </w:tcPr>
          <w:p w14:paraId="5FF6B5EC">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课程目标</w:t>
            </w:r>
          </w:p>
        </w:tc>
        <w:tc>
          <w:tcPr>
            <w:tcW w:w="2302" w:type="dxa"/>
            <w:vAlign w:val="center"/>
          </w:tcPr>
          <w:p w14:paraId="236AED99">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主要内容</w:t>
            </w:r>
          </w:p>
        </w:tc>
        <w:tc>
          <w:tcPr>
            <w:tcW w:w="3058" w:type="dxa"/>
            <w:vAlign w:val="center"/>
          </w:tcPr>
          <w:p w14:paraId="38E5BC38">
            <w:pPr>
              <w:pageBreakBefore w:val="0"/>
              <w:kinsoku/>
              <w:wordWrap/>
              <w:overflowPunct/>
              <w:topLinePunct w:val="0"/>
              <w:bidi w:val="0"/>
              <w:spacing w:line="360" w:lineRule="exact"/>
              <w:jc w:val="center"/>
              <w:rPr>
                <w:rFonts w:ascii="宋体" w:hAnsi="宋体" w:cs="宋体"/>
                <w:b/>
                <w:szCs w:val="21"/>
              </w:rPr>
            </w:pPr>
            <w:r>
              <w:rPr>
                <w:rFonts w:hint="eastAsia" w:ascii="宋体" w:hAnsi="宋体" w:cs="宋体"/>
                <w:b/>
                <w:szCs w:val="21"/>
              </w:rPr>
              <w:t>教学要求</w:t>
            </w:r>
          </w:p>
        </w:tc>
      </w:tr>
      <w:tr w14:paraId="6916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shd w:val="clear" w:color="auto" w:fill="auto"/>
            <w:vAlign w:val="center"/>
          </w:tcPr>
          <w:p w14:paraId="245EC3D4">
            <w:pPr>
              <w:pageBreakBefore w:val="0"/>
              <w:kinsoku/>
              <w:wordWrap/>
              <w:overflowPunct/>
              <w:topLinePunct w:val="0"/>
              <w:bidi w:val="0"/>
              <w:spacing w:line="360" w:lineRule="exact"/>
              <w:jc w:val="center"/>
              <w:rPr>
                <w:rFonts w:ascii="宋体" w:hAnsi="宋体" w:cs="宋体"/>
                <w:b/>
                <w:bCs w:val="0"/>
                <w:sz w:val="18"/>
                <w:szCs w:val="18"/>
              </w:rPr>
            </w:pPr>
            <w:r>
              <w:rPr>
                <w:rFonts w:hint="eastAsia" w:ascii="宋体" w:hAnsi="宋体" w:cs="宋体"/>
                <w:b/>
                <w:bCs w:val="0"/>
                <w:sz w:val="18"/>
                <w:szCs w:val="18"/>
              </w:rPr>
              <w:t>岗位实习</w:t>
            </w:r>
          </w:p>
        </w:tc>
        <w:tc>
          <w:tcPr>
            <w:tcW w:w="2330" w:type="dxa"/>
            <w:shd w:val="clear" w:color="auto" w:fill="auto"/>
          </w:tcPr>
          <w:p w14:paraId="40DC1563">
            <w:pPr>
              <w:pStyle w:val="6"/>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岗位实习是教学计划的重要部分，是实践性教学的重要环节，是实现培养目标的最后教学阶段。其目的是培养学生运用所学的理论知识独立分析问题、解决问题的能力和科学思维方法，树立良好的职业素养和爱岗敬业精神；</w:t>
            </w:r>
          </w:p>
          <w:p w14:paraId="591AD7C3">
            <w:pPr>
              <w:pStyle w:val="6"/>
              <w:pageBreakBefore w:val="0"/>
              <w:kinsoku/>
              <w:wordWrap/>
              <w:overflowPunct/>
              <w:topLinePunct w:val="0"/>
              <w:bidi w:val="0"/>
              <w:adjustRightInd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2.巩固和提高所学的基础理论，加强技能和实践工作能力，为毕业后的工作打下良好的基础。</w:t>
            </w:r>
          </w:p>
        </w:tc>
        <w:tc>
          <w:tcPr>
            <w:tcW w:w="2302" w:type="dxa"/>
            <w:shd w:val="clear" w:color="auto" w:fill="auto"/>
          </w:tcPr>
          <w:p w14:paraId="232CC2C1">
            <w:pPr>
              <w:pageBreakBefore w:val="0"/>
              <w:kinsoku/>
              <w:wordWrap/>
              <w:overflowPunct/>
              <w:topLinePunct w:val="0"/>
              <w:bidi w:val="0"/>
              <w:spacing w:line="360" w:lineRule="exact"/>
              <w:ind w:firstLine="360" w:firstLineChars="200"/>
              <w:rPr>
                <w:rFonts w:ascii="宋体" w:hAnsi="宋体" w:cs="宋体"/>
                <w:bCs/>
                <w:sz w:val="18"/>
                <w:szCs w:val="18"/>
              </w:rPr>
            </w:pPr>
            <w:r>
              <w:rPr>
                <w:rFonts w:hint="eastAsia" w:ascii="宋体" w:hAnsi="宋体" w:cs="宋体"/>
                <w:bCs/>
                <w:sz w:val="18"/>
                <w:szCs w:val="18"/>
              </w:rPr>
              <w:t>观察幼儿园环境，班级环境；了解师幼、幼幼、教师与家长之间的互动情况；熟悉幼儿一日活动安排；观察教师组织教育活动，学习经验实施教育活动，组织幼儿游戏与运动。</w:t>
            </w:r>
          </w:p>
          <w:p w14:paraId="4D7F8554">
            <w:pPr>
              <w:pageBreakBefore w:val="0"/>
              <w:kinsoku/>
              <w:wordWrap/>
              <w:overflowPunct/>
              <w:topLinePunct w:val="0"/>
              <w:bidi w:val="0"/>
              <w:spacing w:line="360" w:lineRule="exact"/>
              <w:ind w:firstLine="360" w:firstLineChars="200"/>
              <w:rPr>
                <w:rFonts w:ascii="宋体" w:hAnsi="宋体" w:cs="宋体"/>
                <w:bCs/>
                <w:sz w:val="18"/>
                <w:szCs w:val="18"/>
              </w:rPr>
            </w:pPr>
            <w:r>
              <w:rPr>
                <w:rFonts w:hint="eastAsia" w:ascii="宋体" w:hAnsi="宋体" w:cs="宋体"/>
                <w:bCs/>
                <w:sz w:val="18"/>
                <w:szCs w:val="18"/>
              </w:rPr>
              <w:t>整个过程不断与带班老师交流以学习经验，完善效果；在活动中观察揣摩幼儿心理、行为特征，针对个性差异与之互动；组织的活动涉及音乐、语言、社会、自然、健康五大领域；每周进行实习总结，填写专业实习周志；另外还协助保育员老师日常工作，初步组织幼儿的日常活动。</w:t>
            </w:r>
          </w:p>
        </w:tc>
        <w:tc>
          <w:tcPr>
            <w:tcW w:w="3058" w:type="dxa"/>
            <w:shd w:val="clear" w:color="auto" w:fill="auto"/>
          </w:tcPr>
          <w:p w14:paraId="65F3BA0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1.实习生应认真贯彻执行党的教育方针，以《幼儿园工作规程》及《幼儿园教育指导纲要》为指导，端正教育实习态度，积极投入实习工作。</w:t>
            </w:r>
          </w:p>
          <w:p w14:paraId="63F21BD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2.尊重实习幼儿园的领导、教师和其他工作人员，虚心向他们学习，为幼儿园做好事。</w:t>
            </w:r>
          </w:p>
          <w:p w14:paraId="187BFEF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3.服从老师的指导，请示工作、征求意见时要使用礼貌语言，不得在幼儿面前品评实习园的领导和教师。</w:t>
            </w:r>
          </w:p>
          <w:p w14:paraId="06C28A0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4.严格遵守实习园的各项规章制度，不迟到、早退，不无故请假和旷工，上班时间不得使用手机。</w:t>
            </w:r>
          </w:p>
          <w:p w14:paraId="6ECD377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5.实习生要认真钻研教材，认真备课、试讲、上课、听课、评课，认真做好班主任和保育工作。</w:t>
            </w:r>
          </w:p>
          <w:p w14:paraId="6CBA639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实习生要具有师表意识，穿着整洁，朴素大方，仪表端庄，不化浓妆，举止文明，待人有礼。要热爱儿童，关心儿童，耐心教育儿童，以自己的模范行动去影响幼儿。不得体罚和变相体罚幼儿。</w:t>
            </w:r>
          </w:p>
        </w:tc>
      </w:tr>
      <w:tr w14:paraId="0D3C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596" w:type="dxa"/>
            <w:shd w:val="clear" w:color="auto" w:fill="auto"/>
            <w:vAlign w:val="center"/>
          </w:tcPr>
          <w:p w14:paraId="53CD4585">
            <w:pPr>
              <w:pageBreakBefore w:val="0"/>
              <w:kinsoku/>
              <w:wordWrap/>
              <w:overflowPunct/>
              <w:topLinePunct w:val="0"/>
              <w:bidi w:val="0"/>
              <w:spacing w:line="360" w:lineRule="exact"/>
              <w:jc w:val="center"/>
              <w:rPr>
                <w:rFonts w:ascii="宋体" w:hAnsi="宋体" w:cs="宋体"/>
                <w:b/>
                <w:bCs w:val="0"/>
                <w:sz w:val="18"/>
                <w:szCs w:val="18"/>
              </w:rPr>
            </w:pPr>
            <w:bookmarkStart w:id="22" w:name="_Toc16644"/>
            <w:r>
              <w:rPr>
                <w:rFonts w:hint="eastAsia" w:ascii="宋体" w:hAnsi="宋体" w:cs="宋体"/>
                <w:b/>
                <w:bCs w:val="0"/>
                <w:sz w:val="18"/>
                <w:szCs w:val="18"/>
              </w:rPr>
              <w:t>毕业设计与毕业教育</w:t>
            </w:r>
          </w:p>
        </w:tc>
        <w:tc>
          <w:tcPr>
            <w:tcW w:w="2330" w:type="dxa"/>
            <w:shd w:val="clear" w:color="auto" w:fill="auto"/>
          </w:tcPr>
          <w:p w14:paraId="61D69BD2">
            <w:pPr>
              <w:pageBreakBefore w:val="0"/>
              <w:kinsoku/>
              <w:wordWrap/>
              <w:overflowPunct/>
              <w:topLinePunct w:val="0"/>
              <w:bidi w:val="0"/>
              <w:spacing w:line="360" w:lineRule="exact"/>
              <w:ind w:firstLine="360" w:firstLineChars="200"/>
              <w:rPr>
                <w:rFonts w:ascii="宋体" w:hAnsi="宋体" w:cs="宋体"/>
                <w:bCs/>
                <w:sz w:val="18"/>
                <w:szCs w:val="18"/>
              </w:rPr>
            </w:pPr>
            <w:r>
              <w:rPr>
                <w:rFonts w:hint="eastAsia" w:ascii="宋体" w:hAnsi="宋体" w:cs="宋体"/>
                <w:bCs/>
                <w:sz w:val="18"/>
                <w:szCs w:val="18"/>
              </w:rPr>
              <w:t>毕业设计是高职高专学前教育专业的一门必修综合性专业实践课程，毕业设计是教学过程的第三学年实习期间完成的一种总结性的实践教学环节，旨在通过系统训练，培养学生综合运用基础理论、专业知识和专业技能分析解决实际问题的能力，有利于提升学生的就业和创业能力。</w:t>
            </w:r>
          </w:p>
        </w:tc>
        <w:tc>
          <w:tcPr>
            <w:tcW w:w="2302" w:type="dxa"/>
            <w:shd w:val="clear" w:color="auto" w:fill="auto"/>
          </w:tcPr>
          <w:p w14:paraId="49833584">
            <w:pPr>
              <w:pageBreakBefore w:val="0"/>
              <w:kinsoku/>
              <w:wordWrap/>
              <w:overflowPunct/>
              <w:topLinePunct w:val="0"/>
              <w:bidi w:val="0"/>
              <w:spacing w:line="360" w:lineRule="exact"/>
              <w:ind w:firstLine="360" w:firstLineChars="200"/>
              <w:rPr>
                <w:rFonts w:ascii="宋体" w:hAnsi="宋体" w:cs="宋体"/>
                <w:bCs/>
                <w:sz w:val="18"/>
                <w:szCs w:val="18"/>
              </w:rPr>
            </w:pPr>
            <w:r>
              <w:rPr>
                <w:rFonts w:hint="eastAsia" w:ascii="宋体" w:hAnsi="宋体" w:cs="宋体"/>
                <w:bCs/>
                <w:sz w:val="18"/>
                <w:szCs w:val="18"/>
              </w:rPr>
              <w:t>本课程通过典型案例分析和描述，培养学生综合应用所学托育基础理论和专业知识，为婴幼儿提供优质托育服务及健康教育的能力，进一步提高和训练学生解决问题的思维能力，培养学生学以致用、融会贯通的综合运用知识能力，以及查阅文献的能力等。毕业设计强调理论联系实际，提高学生分析、解决托育服务过程中实际问题的能力，注意培养学生科学、求实、严谨、认真的工作作风。</w:t>
            </w:r>
          </w:p>
        </w:tc>
        <w:tc>
          <w:tcPr>
            <w:tcW w:w="3058" w:type="dxa"/>
            <w:shd w:val="clear" w:color="auto" w:fill="auto"/>
          </w:tcPr>
          <w:p w14:paraId="7FE2B60A">
            <w:pPr>
              <w:pageBreakBefore w:val="0"/>
              <w:kinsoku/>
              <w:wordWrap/>
              <w:overflowPunct/>
              <w:topLinePunct w:val="0"/>
              <w:bidi w:val="0"/>
              <w:spacing w:line="360" w:lineRule="exact"/>
              <w:ind w:firstLine="360" w:firstLineChars="200"/>
              <w:rPr>
                <w:rFonts w:ascii="宋体" w:hAnsi="宋体" w:cs="宋体"/>
                <w:bCs/>
                <w:sz w:val="18"/>
                <w:szCs w:val="18"/>
              </w:rPr>
            </w:pPr>
            <w:r>
              <w:rPr>
                <w:rFonts w:hint="eastAsia" w:ascii="宋体" w:hAnsi="宋体" w:cs="宋体"/>
                <w:bCs/>
                <w:sz w:val="18"/>
                <w:szCs w:val="18"/>
              </w:rPr>
              <w:t>毕业设计是大学生在毕业阶段所必须完成的重要任务之一，它既是对学生整个学业成果的综合展示，也是对学生所学专业知识的应用和实践的考验。一般来说，毕业设计的基本要求如下：</w:t>
            </w:r>
          </w:p>
          <w:p w14:paraId="678FB23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1.主题选择：选择一个与所学专业相关的主题，既要符合个人兴趣，又要具有一定的实用价值和研究意义。可以通过查阅文献、与导师交流以及调查研究来确定合适的主题。</w:t>
            </w:r>
          </w:p>
          <w:p w14:paraId="0A066162">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2.创新性要求：毕业设计要求在已有的研究和实践基础上，具有一定的创新性。可以从理论上进行创新思考，提出新的观点或方法；也可以从实践中发现问题，并提出解决方案。</w:t>
            </w:r>
          </w:p>
          <w:p w14:paraId="517E146A">
            <w:pPr>
              <w:pStyle w:val="20"/>
              <w:pageBreakBefore w:val="0"/>
              <w:kinsoku/>
              <w:wordWrap/>
              <w:overflowPunct/>
              <w:topLinePunct w:val="0"/>
              <w:bidi w:val="0"/>
              <w:spacing w:line="360" w:lineRule="exact"/>
              <w:ind w:firstLine="0" w:firstLineChars="0"/>
              <w:rPr>
                <w:sz w:val="18"/>
                <w:szCs w:val="18"/>
              </w:rPr>
            </w:pPr>
            <w:r>
              <w:rPr>
                <w:rFonts w:hint="eastAsia"/>
                <w:bCs/>
                <w:sz w:val="18"/>
                <w:szCs w:val="18"/>
              </w:rPr>
              <w:t>3.时间管理：毕业设计需要按时完成，因此要合理安排时间，制定详细的计划，并严格执行。可以通过制定里程碑和设定小目标来保证进度的顺利进行。</w:t>
            </w:r>
          </w:p>
        </w:tc>
      </w:tr>
    </w:tbl>
    <w:p w14:paraId="4AC210DF">
      <w:pPr>
        <w:rPr>
          <w:b/>
          <w:sz w:val="24"/>
        </w:rPr>
      </w:pPr>
      <w:r>
        <w:rPr>
          <w:b/>
          <w:sz w:val="24"/>
        </w:rPr>
        <w:br w:type="page"/>
      </w:r>
    </w:p>
    <w:p w14:paraId="361EE93E">
      <w:pPr>
        <w:pStyle w:val="3"/>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ascii="Times New Roman" w:hAnsi="Times New Roman"/>
          <w:kern w:val="2"/>
          <w:sz w:val="24"/>
          <w:szCs w:val="24"/>
        </w:rPr>
        <w:t>七、教学进程总体安排</w:t>
      </w:r>
      <w:bookmarkEnd w:id="22"/>
    </w:p>
    <w:p w14:paraId="3E87C405">
      <w:pPr>
        <w:pStyle w:val="4"/>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3" w:name="_Toc18647"/>
      <w:bookmarkStart w:id="24" w:name="_Toc3332"/>
      <w:r>
        <w:rPr>
          <w:rFonts w:hint="eastAsia"/>
          <w:sz w:val="21"/>
          <w:szCs w:val="21"/>
        </w:rPr>
        <w:t>（一）教学周数分学期分配表</w:t>
      </w:r>
      <w:bookmarkEnd w:id="23"/>
      <w:bookmarkEnd w:id="24"/>
    </w:p>
    <w:p w14:paraId="304F52F5">
      <w:pPr>
        <w:pageBreakBefore w:val="0"/>
        <w:kinsoku/>
        <w:wordWrap/>
        <w:overflowPunct/>
        <w:topLinePunct w:val="0"/>
        <w:bidi w:val="0"/>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单位：周</w:t>
      </w:r>
    </w:p>
    <w:tbl>
      <w:tblPr>
        <w:tblStyle w:val="14"/>
        <w:tblW w:w="52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285"/>
        <w:gridCol w:w="1240"/>
        <w:gridCol w:w="1153"/>
        <w:gridCol w:w="1226"/>
        <w:gridCol w:w="1500"/>
        <w:gridCol w:w="739"/>
        <w:gridCol w:w="526"/>
        <w:gridCol w:w="603"/>
      </w:tblGrid>
      <w:tr w14:paraId="430E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blHeader/>
          <w:jc w:val="center"/>
        </w:trPr>
        <w:tc>
          <w:tcPr>
            <w:tcW w:w="724" w:type="pct"/>
            <w:tcBorders>
              <w:tl2br w:val="single" w:color="auto" w:sz="4" w:space="0"/>
            </w:tcBorders>
            <w:shd w:val="clear" w:color="auto" w:fill="F2F2F2"/>
            <w:vAlign w:val="center"/>
          </w:tcPr>
          <w:p w14:paraId="1C2BAABB">
            <w:pPr>
              <w:pageBreakBefore w:val="0"/>
              <w:kinsoku/>
              <w:wordWrap/>
              <w:overflowPunct/>
              <w:topLinePunct w:val="0"/>
              <w:bidi w:val="0"/>
              <w:adjustRightInd w:val="0"/>
              <w:snapToGrid w:val="0"/>
              <w:spacing w:line="360" w:lineRule="exact"/>
              <w:rPr>
                <w:rFonts w:ascii="宋体" w:hAnsi="宋体" w:cs="宋体"/>
                <w:b/>
                <w:bCs/>
                <w:szCs w:val="21"/>
              </w:rPr>
            </w:pPr>
            <w:r>
              <w:rPr>
                <w:rFonts w:hint="eastAsia" w:ascii="宋体" w:hAnsi="宋体" w:cs="宋体"/>
                <w:b/>
                <w:bCs/>
                <w:szCs w:val="21"/>
              </w:rPr>
              <w:t xml:space="preserve">  </w:t>
            </w:r>
            <w:r>
              <w:rPr>
                <w:rFonts w:hint="eastAsia" w:ascii="宋体" w:hAnsi="宋体" w:cs="宋体"/>
                <w:b/>
                <w:bCs/>
                <w:szCs w:val="21"/>
                <w:lang w:val="en-US" w:eastAsia="zh-CN"/>
              </w:rPr>
              <w:t xml:space="preserve"> </w:t>
            </w:r>
            <w:r>
              <w:rPr>
                <w:rFonts w:hint="eastAsia" w:ascii="宋体" w:hAnsi="宋体" w:cs="宋体"/>
                <w:b/>
                <w:bCs/>
                <w:szCs w:val="21"/>
              </w:rPr>
              <w:t xml:space="preserve">    分类</w:t>
            </w:r>
          </w:p>
          <w:p w14:paraId="6CE44D4F">
            <w:pPr>
              <w:pageBreakBefore w:val="0"/>
              <w:kinsoku/>
              <w:wordWrap/>
              <w:overflowPunct/>
              <w:topLinePunct w:val="0"/>
              <w:bidi w:val="0"/>
              <w:adjustRightInd w:val="0"/>
              <w:snapToGrid w:val="0"/>
              <w:spacing w:line="360" w:lineRule="exact"/>
              <w:rPr>
                <w:rFonts w:ascii="宋体" w:hAnsi="宋体" w:cs="宋体"/>
                <w:b/>
                <w:bCs/>
                <w:szCs w:val="21"/>
              </w:rPr>
            </w:pPr>
            <w:r>
              <w:rPr>
                <w:rFonts w:hint="eastAsia" w:ascii="宋体" w:hAnsi="宋体" w:cs="宋体"/>
                <w:b/>
                <w:bCs/>
                <w:szCs w:val="21"/>
              </w:rPr>
              <w:t>学期</w:t>
            </w:r>
          </w:p>
        </w:tc>
        <w:tc>
          <w:tcPr>
            <w:tcW w:w="664" w:type="pct"/>
            <w:shd w:val="clear" w:color="auto" w:fill="F2F2F2"/>
            <w:vAlign w:val="center"/>
          </w:tcPr>
          <w:p w14:paraId="3A0A6079">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理实一体教学</w:t>
            </w:r>
          </w:p>
        </w:tc>
        <w:tc>
          <w:tcPr>
            <w:tcW w:w="640" w:type="pct"/>
            <w:shd w:val="clear" w:color="auto" w:fill="F2F2F2"/>
            <w:vAlign w:val="center"/>
          </w:tcPr>
          <w:p w14:paraId="2AF36A69">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综合实践教学</w:t>
            </w:r>
          </w:p>
        </w:tc>
        <w:tc>
          <w:tcPr>
            <w:tcW w:w="595" w:type="pct"/>
            <w:shd w:val="clear" w:color="auto" w:fill="F2F2F2"/>
            <w:vAlign w:val="center"/>
          </w:tcPr>
          <w:p w14:paraId="0F637E94">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 w:val="21"/>
                <w:szCs w:val="21"/>
                <w:lang w:eastAsia="zh-CN"/>
              </w:rPr>
              <w:t>军事技能训练</w:t>
            </w:r>
            <w:bookmarkStart w:id="67" w:name="_GoBack"/>
            <w:bookmarkEnd w:id="67"/>
          </w:p>
        </w:tc>
        <w:tc>
          <w:tcPr>
            <w:tcW w:w="633" w:type="pct"/>
            <w:shd w:val="clear" w:color="auto" w:fill="F2F2F2"/>
            <w:vAlign w:val="center"/>
          </w:tcPr>
          <w:p w14:paraId="35BC9913">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岗位实习</w:t>
            </w:r>
          </w:p>
        </w:tc>
        <w:tc>
          <w:tcPr>
            <w:tcW w:w="775" w:type="pct"/>
            <w:shd w:val="clear" w:color="auto" w:fill="F2F2F2"/>
            <w:vAlign w:val="center"/>
          </w:tcPr>
          <w:p w14:paraId="4DD949E9">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毕业设计与毕业教育</w:t>
            </w:r>
          </w:p>
        </w:tc>
        <w:tc>
          <w:tcPr>
            <w:tcW w:w="381" w:type="pct"/>
            <w:shd w:val="clear" w:color="auto" w:fill="F2F2F2"/>
            <w:vAlign w:val="center"/>
          </w:tcPr>
          <w:p w14:paraId="2C988A18">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考试</w:t>
            </w:r>
          </w:p>
        </w:tc>
        <w:tc>
          <w:tcPr>
            <w:tcW w:w="271" w:type="pct"/>
            <w:shd w:val="clear" w:color="auto" w:fill="F2F2F2"/>
            <w:vAlign w:val="center"/>
          </w:tcPr>
          <w:p w14:paraId="55CCD1F1">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机动</w:t>
            </w:r>
          </w:p>
        </w:tc>
        <w:tc>
          <w:tcPr>
            <w:tcW w:w="311" w:type="pct"/>
            <w:shd w:val="clear" w:color="auto" w:fill="F2F2F2"/>
            <w:vAlign w:val="center"/>
          </w:tcPr>
          <w:p w14:paraId="21FC1F83">
            <w:pPr>
              <w:pageBreakBefore w:val="0"/>
              <w:kinsoku/>
              <w:wordWrap/>
              <w:overflowPunct/>
              <w:topLinePunct w:val="0"/>
              <w:bidi w:val="0"/>
              <w:adjustRightInd w:val="0"/>
              <w:snapToGrid w:val="0"/>
              <w:spacing w:line="360" w:lineRule="exact"/>
              <w:jc w:val="center"/>
              <w:rPr>
                <w:rFonts w:ascii="宋体" w:hAnsi="宋体" w:cs="宋体"/>
                <w:b/>
                <w:bCs/>
                <w:szCs w:val="21"/>
              </w:rPr>
            </w:pPr>
            <w:r>
              <w:rPr>
                <w:rFonts w:hint="eastAsia" w:ascii="宋体" w:hAnsi="宋体" w:cs="宋体"/>
                <w:b/>
                <w:bCs/>
                <w:szCs w:val="21"/>
              </w:rPr>
              <w:t>合计</w:t>
            </w:r>
          </w:p>
        </w:tc>
      </w:tr>
      <w:tr w14:paraId="5927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4" w:type="pct"/>
            <w:vAlign w:val="center"/>
          </w:tcPr>
          <w:p w14:paraId="03F1ECD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第一学期</w:t>
            </w:r>
          </w:p>
        </w:tc>
        <w:tc>
          <w:tcPr>
            <w:tcW w:w="664" w:type="pct"/>
            <w:vAlign w:val="center"/>
          </w:tcPr>
          <w:p w14:paraId="144CD37F">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16</w:t>
            </w:r>
          </w:p>
        </w:tc>
        <w:tc>
          <w:tcPr>
            <w:tcW w:w="640" w:type="pct"/>
            <w:vAlign w:val="center"/>
          </w:tcPr>
          <w:p w14:paraId="5798B444">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595" w:type="pct"/>
            <w:vAlign w:val="center"/>
          </w:tcPr>
          <w:p w14:paraId="7EAE8840">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3</w:t>
            </w:r>
          </w:p>
        </w:tc>
        <w:tc>
          <w:tcPr>
            <w:tcW w:w="633" w:type="pct"/>
            <w:vAlign w:val="center"/>
          </w:tcPr>
          <w:p w14:paraId="14AA156F">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775" w:type="pct"/>
            <w:vAlign w:val="center"/>
          </w:tcPr>
          <w:p w14:paraId="5B63B73C">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381" w:type="pct"/>
            <w:vAlign w:val="center"/>
          </w:tcPr>
          <w:p w14:paraId="3DAAAE48">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271" w:type="pct"/>
            <w:vAlign w:val="center"/>
          </w:tcPr>
          <w:p w14:paraId="609CA08C">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0</w:t>
            </w:r>
          </w:p>
        </w:tc>
        <w:tc>
          <w:tcPr>
            <w:tcW w:w="311" w:type="pct"/>
            <w:vAlign w:val="center"/>
          </w:tcPr>
          <w:p w14:paraId="01DA6B45">
            <w:pPr>
              <w:pStyle w:val="2"/>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20</w:t>
            </w:r>
          </w:p>
        </w:tc>
      </w:tr>
      <w:tr w14:paraId="2991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4" w:type="pct"/>
            <w:vAlign w:val="center"/>
          </w:tcPr>
          <w:p w14:paraId="03B51A5A">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第二学期</w:t>
            </w:r>
          </w:p>
        </w:tc>
        <w:tc>
          <w:tcPr>
            <w:tcW w:w="664" w:type="pct"/>
            <w:vAlign w:val="center"/>
          </w:tcPr>
          <w:p w14:paraId="4D324190">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18</w:t>
            </w:r>
          </w:p>
        </w:tc>
        <w:tc>
          <w:tcPr>
            <w:tcW w:w="640" w:type="pct"/>
            <w:vAlign w:val="center"/>
          </w:tcPr>
          <w:p w14:paraId="492AE606">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595" w:type="pct"/>
            <w:vAlign w:val="center"/>
          </w:tcPr>
          <w:p w14:paraId="6AC8C16B">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633" w:type="pct"/>
            <w:vAlign w:val="center"/>
          </w:tcPr>
          <w:p w14:paraId="39D95335">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775" w:type="pct"/>
            <w:vAlign w:val="center"/>
          </w:tcPr>
          <w:p w14:paraId="13898D36">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381" w:type="pct"/>
            <w:vAlign w:val="center"/>
          </w:tcPr>
          <w:p w14:paraId="709FDD61">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271" w:type="pct"/>
            <w:vAlign w:val="center"/>
          </w:tcPr>
          <w:p w14:paraId="01D85126">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311" w:type="pct"/>
            <w:vAlign w:val="center"/>
          </w:tcPr>
          <w:p w14:paraId="5F7B2C3B">
            <w:pPr>
              <w:pStyle w:val="2"/>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20</w:t>
            </w:r>
          </w:p>
        </w:tc>
      </w:tr>
      <w:tr w14:paraId="2D4D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4" w:type="pct"/>
            <w:vAlign w:val="center"/>
          </w:tcPr>
          <w:p w14:paraId="3F021E7C">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第三学期</w:t>
            </w:r>
          </w:p>
        </w:tc>
        <w:tc>
          <w:tcPr>
            <w:tcW w:w="664" w:type="pct"/>
            <w:vAlign w:val="center"/>
          </w:tcPr>
          <w:p w14:paraId="31B1A1FD">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18</w:t>
            </w:r>
          </w:p>
        </w:tc>
        <w:tc>
          <w:tcPr>
            <w:tcW w:w="640" w:type="pct"/>
            <w:vAlign w:val="center"/>
          </w:tcPr>
          <w:p w14:paraId="1BCB945D">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595" w:type="pct"/>
            <w:vAlign w:val="center"/>
          </w:tcPr>
          <w:p w14:paraId="7B9D2313">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633" w:type="pct"/>
            <w:vAlign w:val="center"/>
          </w:tcPr>
          <w:p w14:paraId="2B810049">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775" w:type="pct"/>
            <w:vAlign w:val="center"/>
          </w:tcPr>
          <w:p w14:paraId="28272811">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381" w:type="pct"/>
            <w:vAlign w:val="center"/>
          </w:tcPr>
          <w:p w14:paraId="12371E55">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271" w:type="pct"/>
            <w:vAlign w:val="center"/>
          </w:tcPr>
          <w:p w14:paraId="678DBF94">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311" w:type="pct"/>
            <w:vAlign w:val="center"/>
          </w:tcPr>
          <w:p w14:paraId="73D00801">
            <w:pPr>
              <w:pStyle w:val="2"/>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20</w:t>
            </w:r>
          </w:p>
        </w:tc>
      </w:tr>
      <w:tr w14:paraId="3EED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4" w:type="pct"/>
            <w:vAlign w:val="center"/>
          </w:tcPr>
          <w:p w14:paraId="29A06521">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第四学期</w:t>
            </w:r>
          </w:p>
        </w:tc>
        <w:tc>
          <w:tcPr>
            <w:tcW w:w="664" w:type="pct"/>
            <w:vAlign w:val="center"/>
          </w:tcPr>
          <w:p w14:paraId="4BC7172A">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18</w:t>
            </w:r>
          </w:p>
        </w:tc>
        <w:tc>
          <w:tcPr>
            <w:tcW w:w="640" w:type="pct"/>
            <w:vAlign w:val="center"/>
          </w:tcPr>
          <w:p w14:paraId="76527BD1">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595" w:type="pct"/>
            <w:vAlign w:val="center"/>
          </w:tcPr>
          <w:p w14:paraId="5581787A">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633" w:type="pct"/>
            <w:vAlign w:val="center"/>
          </w:tcPr>
          <w:p w14:paraId="27A5AF23">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775" w:type="pct"/>
            <w:vAlign w:val="center"/>
          </w:tcPr>
          <w:p w14:paraId="3094CD9D">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381" w:type="pct"/>
            <w:vAlign w:val="center"/>
          </w:tcPr>
          <w:p w14:paraId="5B1D9BDC">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271" w:type="pct"/>
            <w:vAlign w:val="center"/>
          </w:tcPr>
          <w:p w14:paraId="27A6B851">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311" w:type="pct"/>
            <w:vAlign w:val="center"/>
          </w:tcPr>
          <w:p w14:paraId="4B35D169">
            <w:pPr>
              <w:pStyle w:val="2"/>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20</w:t>
            </w:r>
          </w:p>
        </w:tc>
      </w:tr>
      <w:tr w14:paraId="3F37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4" w:type="pct"/>
            <w:vAlign w:val="center"/>
          </w:tcPr>
          <w:p w14:paraId="320CD71C">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第五学期</w:t>
            </w:r>
          </w:p>
        </w:tc>
        <w:tc>
          <w:tcPr>
            <w:tcW w:w="664" w:type="pct"/>
            <w:vAlign w:val="center"/>
          </w:tcPr>
          <w:p w14:paraId="6311EB6F">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640" w:type="pct"/>
            <w:vAlign w:val="center"/>
          </w:tcPr>
          <w:p w14:paraId="123F8D7C">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595" w:type="pct"/>
            <w:vAlign w:val="center"/>
          </w:tcPr>
          <w:p w14:paraId="6908F7B2">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633" w:type="pct"/>
            <w:vAlign w:val="center"/>
          </w:tcPr>
          <w:p w14:paraId="5157F671">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18</w:t>
            </w:r>
          </w:p>
        </w:tc>
        <w:tc>
          <w:tcPr>
            <w:tcW w:w="775" w:type="pct"/>
            <w:vAlign w:val="center"/>
          </w:tcPr>
          <w:p w14:paraId="57E6C1BC">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381" w:type="pct"/>
            <w:vAlign w:val="center"/>
          </w:tcPr>
          <w:p w14:paraId="76889AE0">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271" w:type="pct"/>
            <w:vAlign w:val="center"/>
          </w:tcPr>
          <w:p w14:paraId="4BCC0C28">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311" w:type="pct"/>
            <w:vAlign w:val="center"/>
          </w:tcPr>
          <w:p w14:paraId="1364B0BB">
            <w:pPr>
              <w:pStyle w:val="2"/>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20</w:t>
            </w:r>
          </w:p>
        </w:tc>
      </w:tr>
      <w:tr w14:paraId="561F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4" w:type="pct"/>
            <w:vAlign w:val="center"/>
          </w:tcPr>
          <w:p w14:paraId="7F887D4B">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第六学期</w:t>
            </w:r>
          </w:p>
        </w:tc>
        <w:tc>
          <w:tcPr>
            <w:tcW w:w="664" w:type="pct"/>
            <w:vAlign w:val="center"/>
          </w:tcPr>
          <w:p w14:paraId="0BDC55F3">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640" w:type="pct"/>
            <w:vAlign w:val="center"/>
          </w:tcPr>
          <w:p w14:paraId="60636399">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595" w:type="pct"/>
            <w:vAlign w:val="center"/>
          </w:tcPr>
          <w:p w14:paraId="14B16104">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633" w:type="pct"/>
            <w:vAlign w:val="center"/>
          </w:tcPr>
          <w:p w14:paraId="13AD3A57">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8</w:t>
            </w:r>
          </w:p>
        </w:tc>
        <w:tc>
          <w:tcPr>
            <w:tcW w:w="775" w:type="pct"/>
            <w:vAlign w:val="center"/>
          </w:tcPr>
          <w:p w14:paraId="6387139C">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10</w:t>
            </w:r>
          </w:p>
        </w:tc>
        <w:tc>
          <w:tcPr>
            <w:tcW w:w="381" w:type="pct"/>
            <w:vAlign w:val="center"/>
          </w:tcPr>
          <w:p w14:paraId="21563507">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271" w:type="pct"/>
            <w:vAlign w:val="center"/>
          </w:tcPr>
          <w:p w14:paraId="327C45F0">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w:t>
            </w:r>
          </w:p>
        </w:tc>
        <w:tc>
          <w:tcPr>
            <w:tcW w:w="311" w:type="pct"/>
            <w:vAlign w:val="center"/>
          </w:tcPr>
          <w:p w14:paraId="706144FE">
            <w:pPr>
              <w:pStyle w:val="2"/>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20</w:t>
            </w:r>
          </w:p>
        </w:tc>
      </w:tr>
      <w:tr w14:paraId="6FD2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24" w:type="pct"/>
            <w:vAlign w:val="bottom"/>
          </w:tcPr>
          <w:p w14:paraId="3E34E0E7">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总计</w:t>
            </w:r>
          </w:p>
        </w:tc>
        <w:tc>
          <w:tcPr>
            <w:tcW w:w="664" w:type="pct"/>
            <w:vAlign w:val="center"/>
          </w:tcPr>
          <w:p w14:paraId="05EC4426">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70</w:t>
            </w:r>
          </w:p>
        </w:tc>
        <w:tc>
          <w:tcPr>
            <w:tcW w:w="640" w:type="pct"/>
            <w:vAlign w:val="center"/>
          </w:tcPr>
          <w:p w14:paraId="7744AC88">
            <w:pPr>
              <w:pStyle w:val="2"/>
              <w:pageBreakBefore w:val="0"/>
              <w:kinsoku/>
              <w:wordWrap/>
              <w:overflowPunct/>
              <w:topLinePunct w:val="0"/>
              <w:bidi w:val="0"/>
              <w:spacing w:after="0" w:line="360" w:lineRule="exact"/>
              <w:jc w:val="center"/>
              <w:rPr>
                <w:rFonts w:ascii="宋体" w:hAnsi="宋体" w:cs="宋体"/>
                <w:color w:val="548DD4"/>
                <w:sz w:val="18"/>
                <w:szCs w:val="18"/>
              </w:rPr>
            </w:pPr>
          </w:p>
        </w:tc>
        <w:tc>
          <w:tcPr>
            <w:tcW w:w="595" w:type="pct"/>
            <w:vAlign w:val="center"/>
          </w:tcPr>
          <w:p w14:paraId="57463414">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3</w:t>
            </w:r>
          </w:p>
        </w:tc>
        <w:tc>
          <w:tcPr>
            <w:tcW w:w="633" w:type="pct"/>
            <w:vAlign w:val="center"/>
          </w:tcPr>
          <w:p w14:paraId="60E1D706">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26</w:t>
            </w:r>
          </w:p>
        </w:tc>
        <w:tc>
          <w:tcPr>
            <w:tcW w:w="775" w:type="pct"/>
            <w:vAlign w:val="center"/>
          </w:tcPr>
          <w:p w14:paraId="601A60D2">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10</w:t>
            </w:r>
          </w:p>
        </w:tc>
        <w:tc>
          <w:tcPr>
            <w:tcW w:w="381" w:type="pct"/>
            <w:vAlign w:val="center"/>
          </w:tcPr>
          <w:p w14:paraId="0E9220F5">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6</w:t>
            </w:r>
          </w:p>
        </w:tc>
        <w:tc>
          <w:tcPr>
            <w:tcW w:w="271" w:type="pct"/>
            <w:vAlign w:val="center"/>
          </w:tcPr>
          <w:p w14:paraId="4BDBFF25">
            <w:pPr>
              <w:pStyle w:val="2"/>
              <w:pageBreakBefore w:val="0"/>
              <w:kinsoku/>
              <w:wordWrap/>
              <w:overflowPunct/>
              <w:topLinePunct w:val="0"/>
              <w:bidi w:val="0"/>
              <w:spacing w:after="0" w:line="360" w:lineRule="exact"/>
              <w:jc w:val="center"/>
              <w:rPr>
                <w:rFonts w:ascii="宋体" w:hAnsi="宋体" w:cs="宋体"/>
                <w:color w:val="548DD4"/>
                <w:sz w:val="18"/>
                <w:szCs w:val="18"/>
              </w:rPr>
            </w:pPr>
            <w:r>
              <w:rPr>
                <w:rFonts w:hint="eastAsia" w:ascii="宋体" w:hAnsi="宋体" w:cs="宋体"/>
                <w:sz w:val="18"/>
                <w:szCs w:val="18"/>
              </w:rPr>
              <w:t>5</w:t>
            </w:r>
          </w:p>
        </w:tc>
        <w:tc>
          <w:tcPr>
            <w:tcW w:w="311" w:type="pct"/>
            <w:vAlign w:val="center"/>
          </w:tcPr>
          <w:p w14:paraId="00422713">
            <w:pPr>
              <w:pStyle w:val="2"/>
              <w:pageBreakBefore w:val="0"/>
              <w:kinsoku/>
              <w:wordWrap/>
              <w:overflowPunct/>
              <w:topLinePunct w:val="0"/>
              <w:bidi w:val="0"/>
              <w:spacing w:after="0"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sz w:val="18"/>
                <w:szCs w:val="18"/>
              </w:rPr>
              <w:t>120</w:t>
            </w:r>
          </w:p>
        </w:tc>
      </w:tr>
    </w:tbl>
    <w:p w14:paraId="224001CA">
      <w:pPr>
        <w:pStyle w:val="4"/>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bookmarkStart w:id="25" w:name="_Toc10922"/>
      <w:bookmarkStart w:id="26" w:name="_Toc9607"/>
      <w:r>
        <w:rPr>
          <w:rFonts w:hint="eastAsia"/>
          <w:sz w:val="21"/>
          <w:szCs w:val="21"/>
        </w:rPr>
        <w:t>（二）教学历程表</w:t>
      </w:r>
      <w:bookmarkEnd w:id="25"/>
      <w:bookmarkEnd w:id="26"/>
    </w:p>
    <w:tbl>
      <w:tblPr>
        <w:tblStyle w:val="14"/>
        <w:tblW w:w="53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1"/>
        <w:gridCol w:w="514"/>
        <w:gridCol w:w="429"/>
        <w:gridCol w:w="404"/>
        <w:gridCol w:w="429"/>
        <w:gridCol w:w="393"/>
        <w:gridCol w:w="418"/>
        <w:gridCol w:w="418"/>
        <w:gridCol w:w="404"/>
        <w:gridCol w:w="404"/>
        <w:gridCol w:w="404"/>
        <w:gridCol w:w="404"/>
        <w:gridCol w:w="418"/>
        <w:gridCol w:w="410"/>
        <w:gridCol w:w="418"/>
        <w:gridCol w:w="420"/>
        <w:gridCol w:w="420"/>
        <w:gridCol w:w="404"/>
        <w:gridCol w:w="420"/>
        <w:gridCol w:w="404"/>
        <w:gridCol w:w="412"/>
        <w:gridCol w:w="789"/>
      </w:tblGrid>
      <w:tr w14:paraId="61F1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atLeast"/>
          <w:jc w:val="center"/>
        </w:trPr>
        <w:tc>
          <w:tcPr>
            <w:tcW w:w="275" w:type="pct"/>
            <w:vMerge w:val="restart"/>
            <w:vAlign w:val="center"/>
          </w:tcPr>
          <w:p w14:paraId="53E9EA60">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学</w:t>
            </w:r>
          </w:p>
          <w:p w14:paraId="730C1FC6">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年</w:t>
            </w:r>
          </w:p>
        </w:tc>
        <w:tc>
          <w:tcPr>
            <w:tcW w:w="266" w:type="pct"/>
            <w:vMerge w:val="restart"/>
            <w:vAlign w:val="center"/>
          </w:tcPr>
          <w:p w14:paraId="13C5F495">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学</w:t>
            </w:r>
          </w:p>
          <w:p w14:paraId="75AC5364">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期</w:t>
            </w:r>
          </w:p>
        </w:tc>
        <w:tc>
          <w:tcPr>
            <w:tcW w:w="4458" w:type="pct"/>
            <w:gridSpan w:val="20"/>
            <w:vAlign w:val="center"/>
          </w:tcPr>
          <w:p w14:paraId="673E3FD4">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周次</w:t>
            </w:r>
          </w:p>
        </w:tc>
      </w:tr>
      <w:tr w14:paraId="4FA4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jc w:val="center"/>
        </w:trPr>
        <w:tc>
          <w:tcPr>
            <w:tcW w:w="275" w:type="pct"/>
            <w:vMerge w:val="continue"/>
            <w:vAlign w:val="center"/>
          </w:tcPr>
          <w:p w14:paraId="22D87A36">
            <w:pPr>
              <w:pStyle w:val="2"/>
              <w:pageBreakBefore w:val="0"/>
              <w:kinsoku/>
              <w:wordWrap/>
              <w:overflowPunct/>
              <w:topLinePunct w:val="0"/>
              <w:bidi w:val="0"/>
              <w:spacing w:after="0" w:line="360" w:lineRule="exact"/>
              <w:jc w:val="center"/>
              <w:rPr>
                <w:rFonts w:ascii="宋体" w:hAnsi="宋体" w:cs="宋体"/>
                <w:b/>
                <w:bCs/>
                <w:szCs w:val="21"/>
              </w:rPr>
            </w:pPr>
          </w:p>
        </w:tc>
        <w:tc>
          <w:tcPr>
            <w:tcW w:w="266" w:type="pct"/>
            <w:vMerge w:val="continue"/>
            <w:vAlign w:val="center"/>
          </w:tcPr>
          <w:p w14:paraId="77CE0EB5">
            <w:pPr>
              <w:pStyle w:val="2"/>
              <w:pageBreakBefore w:val="0"/>
              <w:kinsoku/>
              <w:wordWrap/>
              <w:overflowPunct/>
              <w:topLinePunct w:val="0"/>
              <w:bidi w:val="0"/>
              <w:spacing w:after="0" w:line="360" w:lineRule="exact"/>
              <w:jc w:val="center"/>
              <w:rPr>
                <w:rFonts w:ascii="宋体" w:hAnsi="宋体" w:cs="宋体"/>
                <w:b/>
                <w:bCs/>
                <w:szCs w:val="21"/>
              </w:rPr>
            </w:pPr>
          </w:p>
        </w:tc>
        <w:tc>
          <w:tcPr>
            <w:tcW w:w="222" w:type="pct"/>
            <w:vAlign w:val="center"/>
          </w:tcPr>
          <w:p w14:paraId="2F05BC9A">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w:t>
            </w:r>
          </w:p>
        </w:tc>
        <w:tc>
          <w:tcPr>
            <w:tcW w:w="209" w:type="pct"/>
            <w:vAlign w:val="center"/>
          </w:tcPr>
          <w:p w14:paraId="3A8E1FF6">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2</w:t>
            </w:r>
          </w:p>
        </w:tc>
        <w:tc>
          <w:tcPr>
            <w:tcW w:w="222" w:type="pct"/>
            <w:vAlign w:val="center"/>
          </w:tcPr>
          <w:p w14:paraId="2051FE34">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3</w:t>
            </w:r>
          </w:p>
        </w:tc>
        <w:tc>
          <w:tcPr>
            <w:tcW w:w="203" w:type="pct"/>
            <w:vAlign w:val="center"/>
          </w:tcPr>
          <w:p w14:paraId="12B274E6">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4</w:t>
            </w:r>
          </w:p>
        </w:tc>
        <w:tc>
          <w:tcPr>
            <w:tcW w:w="216" w:type="pct"/>
            <w:vAlign w:val="center"/>
          </w:tcPr>
          <w:p w14:paraId="17DD5290">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5</w:t>
            </w:r>
          </w:p>
        </w:tc>
        <w:tc>
          <w:tcPr>
            <w:tcW w:w="216" w:type="pct"/>
            <w:vAlign w:val="center"/>
          </w:tcPr>
          <w:p w14:paraId="2C6843D5">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6</w:t>
            </w:r>
          </w:p>
        </w:tc>
        <w:tc>
          <w:tcPr>
            <w:tcW w:w="209" w:type="pct"/>
            <w:vAlign w:val="center"/>
          </w:tcPr>
          <w:p w14:paraId="734A7D92">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7</w:t>
            </w:r>
          </w:p>
        </w:tc>
        <w:tc>
          <w:tcPr>
            <w:tcW w:w="209" w:type="pct"/>
            <w:vAlign w:val="center"/>
          </w:tcPr>
          <w:p w14:paraId="1E056223">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8</w:t>
            </w:r>
          </w:p>
        </w:tc>
        <w:tc>
          <w:tcPr>
            <w:tcW w:w="209" w:type="pct"/>
            <w:vAlign w:val="center"/>
          </w:tcPr>
          <w:p w14:paraId="0DD3D6A9">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9</w:t>
            </w:r>
          </w:p>
        </w:tc>
        <w:tc>
          <w:tcPr>
            <w:tcW w:w="209" w:type="pct"/>
            <w:vAlign w:val="center"/>
          </w:tcPr>
          <w:p w14:paraId="550656E1">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10</w:t>
            </w:r>
          </w:p>
        </w:tc>
        <w:tc>
          <w:tcPr>
            <w:tcW w:w="216" w:type="pct"/>
            <w:vAlign w:val="center"/>
          </w:tcPr>
          <w:p w14:paraId="348B19B9">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11</w:t>
            </w:r>
          </w:p>
        </w:tc>
        <w:tc>
          <w:tcPr>
            <w:tcW w:w="212" w:type="pct"/>
            <w:vAlign w:val="center"/>
          </w:tcPr>
          <w:p w14:paraId="5A8C07ED">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12</w:t>
            </w:r>
          </w:p>
        </w:tc>
        <w:tc>
          <w:tcPr>
            <w:tcW w:w="216" w:type="pct"/>
            <w:vAlign w:val="center"/>
          </w:tcPr>
          <w:p w14:paraId="5D5E7EA6">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13</w:t>
            </w:r>
          </w:p>
        </w:tc>
        <w:tc>
          <w:tcPr>
            <w:tcW w:w="217" w:type="pct"/>
            <w:vAlign w:val="center"/>
          </w:tcPr>
          <w:p w14:paraId="2809A887">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14</w:t>
            </w:r>
          </w:p>
        </w:tc>
        <w:tc>
          <w:tcPr>
            <w:tcW w:w="217" w:type="pct"/>
            <w:vAlign w:val="center"/>
          </w:tcPr>
          <w:p w14:paraId="1684BC3C">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15</w:t>
            </w:r>
          </w:p>
        </w:tc>
        <w:tc>
          <w:tcPr>
            <w:tcW w:w="209" w:type="pct"/>
            <w:vAlign w:val="center"/>
          </w:tcPr>
          <w:p w14:paraId="471E2A3E">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16</w:t>
            </w:r>
          </w:p>
        </w:tc>
        <w:tc>
          <w:tcPr>
            <w:tcW w:w="217" w:type="pct"/>
            <w:vAlign w:val="center"/>
          </w:tcPr>
          <w:p w14:paraId="273C68BC">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17</w:t>
            </w:r>
          </w:p>
        </w:tc>
        <w:tc>
          <w:tcPr>
            <w:tcW w:w="209" w:type="pct"/>
            <w:vAlign w:val="center"/>
          </w:tcPr>
          <w:p w14:paraId="5857A1E6">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18</w:t>
            </w:r>
          </w:p>
        </w:tc>
        <w:tc>
          <w:tcPr>
            <w:tcW w:w="213" w:type="pct"/>
            <w:vAlign w:val="center"/>
          </w:tcPr>
          <w:p w14:paraId="5D0317DA">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19</w:t>
            </w:r>
          </w:p>
        </w:tc>
        <w:tc>
          <w:tcPr>
            <w:tcW w:w="397" w:type="pct"/>
            <w:vAlign w:val="center"/>
          </w:tcPr>
          <w:p w14:paraId="3377B423">
            <w:pPr>
              <w:pStyle w:val="2"/>
              <w:pageBreakBefore w:val="0"/>
              <w:kinsoku/>
              <w:wordWrap/>
              <w:overflowPunct/>
              <w:topLinePunct w:val="0"/>
              <w:bidi w:val="0"/>
              <w:spacing w:after="0" w:line="360" w:lineRule="exact"/>
              <w:jc w:val="center"/>
              <w:rPr>
                <w:rFonts w:ascii="宋体" w:hAnsi="宋体" w:cs="宋体"/>
                <w:b/>
                <w:bCs/>
                <w:szCs w:val="21"/>
              </w:rPr>
            </w:pPr>
            <w:r>
              <w:rPr>
                <w:rFonts w:hint="eastAsia" w:ascii="宋体" w:hAnsi="宋体" w:cs="宋体"/>
                <w:b/>
                <w:bCs/>
                <w:szCs w:val="21"/>
              </w:rPr>
              <w:t>20</w:t>
            </w:r>
          </w:p>
        </w:tc>
      </w:tr>
      <w:tr w14:paraId="3210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4" w:hRule="atLeast"/>
          <w:jc w:val="center"/>
        </w:trPr>
        <w:tc>
          <w:tcPr>
            <w:tcW w:w="275" w:type="pct"/>
            <w:vMerge w:val="restart"/>
            <w:vAlign w:val="center"/>
          </w:tcPr>
          <w:p w14:paraId="4DA3FC58">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一</w:t>
            </w:r>
          </w:p>
        </w:tc>
        <w:tc>
          <w:tcPr>
            <w:tcW w:w="266" w:type="pct"/>
            <w:vAlign w:val="center"/>
          </w:tcPr>
          <w:p w14:paraId="3EDB118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22" w:type="pct"/>
            <w:shd w:val="clear" w:color="auto" w:fill="auto"/>
            <w:vAlign w:val="center"/>
          </w:tcPr>
          <w:p w14:paraId="26E16880">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1791D5C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2" w:type="pct"/>
            <w:shd w:val="clear" w:color="auto" w:fill="auto"/>
            <w:vAlign w:val="center"/>
          </w:tcPr>
          <w:p w14:paraId="4100987B">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shd w:val="clear" w:color="auto" w:fill="auto"/>
            <w:vAlign w:val="center"/>
          </w:tcPr>
          <w:p w14:paraId="45461355">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264F3BB1">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430A3F9C">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2A9E3FD3">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0D139BC4">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6BB300D0">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2C31843B">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6915C4D0">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2" w:type="pct"/>
            <w:shd w:val="clear" w:color="auto" w:fill="auto"/>
            <w:vAlign w:val="center"/>
          </w:tcPr>
          <w:p w14:paraId="5C2ACB5C">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0BF9D84C">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16ECC3C0">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7E86FB0A">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3ABC10B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151203BF">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3D83FBBD">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3" w:type="pct"/>
            <w:shd w:val="clear" w:color="auto" w:fill="auto"/>
            <w:vAlign w:val="center"/>
          </w:tcPr>
          <w:p w14:paraId="216646E5">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pct"/>
            <w:vAlign w:val="center"/>
          </w:tcPr>
          <w:p w14:paraId="03E56A97">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57BA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1" w:hRule="atLeast"/>
          <w:jc w:val="center"/>
        </w:trPr>
        <w:tc>
          <w:tcPr>
            <w:tcW w:w="275" w:type="pct"/>
            <w:vMerge w:val="continue"/>
            <w:vAlign w:val="center"/>
          </w:tcPr>
          <w:p w14:paraId="1C39B6FB">
            <w:pPr>
              <w:pStyle w:val="2"/>
              <w:pageBreakBefore w:val="0"/>
              <w:kinsoku/>
              <w:wordWrap/>
              <w:overflowPunct/>
              <w:topLinePunct w:val="0"/>
              <w:bidi w:val="0"/>
              <w:spacing w:after="0" w:line="360" w:lineRule="exact"/>
              <w:jc w:val="center"/>
              <w:rPr>
                <w:rFonts w:ascii="宋体" w:hAnsi="宋体" w:cs="宋体"/>
                <w:sz w:val="18"/>
                <w:szCs w:val="18"/>
              </w:rPr>
            </w:pPr>
          </w:p>
        </w:tc>
        <w:tc>
          <w:tcPr>
            <w:tcW w:w="266" w:type="pct"/>
            <w:vAlign w:val="center"/>
          </w:tcPr>
          <w:p w14:paraId="0C30E20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w:t>
            </w:r>
          </w:p>
        </w:tc>
        <w:tc>
          <w:tcPr>
            <w:tcW w:w="222" w:type="pct"/>
            <w:shd w:val="clear" w:color="auto" w:fill="auto"/>
            <w:vAlign w:val="center"/>
          </w:tcPr>
          <w:p w14:paraId="20F3DA1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3CDFA3EB">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2" w:type="pct"/>
            <w:shd w:val="clear" w:color="auto" w:fill="auto"/>
            <w:vAlign w:val="center"/>
          </w:tcPr>
          <w:p w14:paraId="7A783E3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shd w:val="clear" w:color="auto" w:fill="auto"/>
            <w:vAlign w:val="center"/>
          </w:tcPr>
          <w:p w14:paraId="5E0D0628">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3DAF92D4">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17E024C2">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4E55763F">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3CEBDF14">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6B579974">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78B4DFE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4019172D">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2" w:type="pct"/>
            <w:shd w:val="clear" w:color="auto" w:fill="auto"/>
            <w:vAlign w:val="center"/>
          </w:tcPr>
          <w:p w14:paraId="47ACC90A">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46E9F6FB">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6D77009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195ADAC2">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01604AA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7562FB92">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4D45542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3" w:type="pct"/>
            <w:shd w:val="clear" w:color="auto" w:fill="auto"/>
            <w:vAlign w:val="center"/>
          </w:tcPr>
          <w:p w14:paraId="30516950">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pct"/>
            <w:vAlign w:val="center"/>
          </w:tcPr>
          <w:p w14:paraId="7C07B68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1543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atLeast"/>
          <w:jc w:val="center"/>
        </w:trPr>
        <w:tc>
          <w:tcPr>
            <w:tcW w:w="275" w:type="pct"/>
            <w:vMerge w:val="restart"/>
            <w:vAlign w:val="center"/>
          </w:tcPr>
          <w:p w14:paraId="5CD09F08">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二</w:t>
            </w:r>
          </w:p>
        </w:tc>
        <w:tc>
          <w:tcPr>
            <w:tcW w:w="266" w:type="pct"/>
            <w:vAlign w:val="center"/>
          </w:tcPr>
          <w:p w14:paraId="65B4E99F">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222" w:type="pct"/>
            <w:shd w:val="clear" w:color="auto" w:fill="auto"/>
            <w:vAlign w:val="center"/>
          </w:tcPr>
          <w:p w14:paraId="4FA9489D">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6F4F42E5">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2" w:type="pct"/>
            <w:shd w:val="clear" w:color="auto" w:fill="auto"/>
            <w:vAlign w:val="center"/>
          </w:tcPr>
          <w:p w14:paraId="2EACA854">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shd w:val="clear" w:color="auto" w:fill="auto"/>
            <w:vAlign w:val="center"/>
          </w:tcPr>
          <w:p w14:paraId="4CCDB82C">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00A34D1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0FFC681A">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2903DE4B">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6ABAB0DC">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02C03C98">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504DF69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28D110D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2" w:type="pct"/>
            <w:shd w:val="clear" w:color="auto" w:fill="auto"/>
            <w:vAlign w:val="center"/>
          </w:tcPr>
          <w:p w14:paraId="5F54FFE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19868545">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4E1BD6C7">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47D661C1">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5577FD6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55A60482">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610AA8C8">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3" w:type="pct"/>
            <w:shd w:val="clear" w:color="auto" w:fill="auto"/>
            <w:vAlign w:val="center"/>
          </w:tcPr>
          <w:p w14:paraId="0B289FA0">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pct"/>
            <w:vAlign w:val="center"/>
          </w:tcPr>
          <w:p w14:paraId="343FF548">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0925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jc w:val="center"/>
        </w:trPr>
        <w:tc>
          <w:tcPr>
            <w:tcW w:w="275" w:type="pct"/>
            <w:vMerge w:val="continue"/>
            <w:vAlign w:val="center"/>
          </w:tcPr>
          <w:p w14:paraId="4035E826">
            <w:pPr>
              <w:pStyle w:val="2"/>
              <w:pageBreakBefore w:val="0"/>
              <w:kinsoku/>
              <w:wordWrap/>
              <w:overflowPunct/>
              <w:topLinePunct w:val="0"/>
              <w:bidi w:val="0"/>
              <w:spacing w:after="0" w:line="360" w:lineRule="exact"/>
              <w:jc w:val="center"/>
              <w:rPr>
                <w:rFonts w:ascii="宋体" w:hAnsi="宋体" w:cs="宋体"/>
                <w:sz w:val="18"/>
                <w:szCs w:val="18"/>
              </w:rPr>
            </w:pPr>
          </w:p>
        </w:tc>
        <w:tc>
          <w:tcPr>
            <w:tcW w:w="266" w:type="pct"/>
            <w:vAlign w:val="center"/>
          </w:tcPr>
          <w:p w14:paraId="663C90EF">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4</w:t>
            </w:r>
          </w:p>
        </w:tc>
        <w:tc>
          <w:tcPr>
            <w:tcW w:w="222" w:type="pct"/>
            <w:shd w:val="clear" w:color="auto" w:fill="auto"/>
            <w:vAlign w:val="center"/>
          </w:tcPr>
          <w:p w14:paraId="71A1C84C">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3560F41D">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2" w:type="pct"/>
            <w:shd w:val="clear" w:color="auto" w:fill="auto"/>
            <w:vAlign w:val="center"/>
          </w:tcPr>
          <w:p w14:paraId="2D5DF926">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shd w:val="clear" w:color="auto" w:fill="auto"/>
            <w:vAlign w:val="center"/>
          </w:tcPr>
          <w:p w14:paraId="7ED3C37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3509B57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7A90679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3DAB8E83">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030A0BD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041EC06A">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0D724BD9">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0E146CA5">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2" w:type="pct"/>
            <w:shd w:val="clear" w:color="auto" w:fill="auto"/>
            <w:vAlign w:val="center"/>
          </w:tcPr>
          <w:p w14:paraId="46787337">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1882B836">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1D441EF6">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21653E8B">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2C601F2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6C4D0D2D">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35BE99E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3" w:type="pct"/>
            <w:shd w:val="clear" w:color="auto" w:fill="auto"/>
            <w:vAlign w:val="center"/>
          </w:tcPr>
          <w:p w14:paraId="1F88C8B1">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pct"/>
            <w:vAlign w:val="center"/>
          </w:tcPr>
          <w:p w14:paraId="5DCB7325">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0FD5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1" w:hRule="atLeast"/>
          <w:jc w:val="center"/>
        </w:trPr>
        <w:tc>
          <w:tcPr>
            <w:tcW w:w="275" w:type="pct"/>
            <w:vMerge w:val="restart"/>
            <w:vAlign w:val="center"/>
          </w:tcPr>
          <w:p w14:paraId="0CBDE541">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三</w:t>
            </w:r>
          </w:p>
        </w:tc>
        <w:tc>
          <w:tcPr>
            <w:tcW w:w="266" w:type="pct"/>
            <w:vAlign w:val="center"/>
          </w:tcPr>
          <w:p w14:paraId="55A08FAF">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222" w:type="pct"/>
            <w:shd w:val="clear" w:color="auto" w:fill="auto"/>
            <w:vAlign w:val="center"/>
          </w:tcPr>
          <w:p w14:paraId="7BADA2E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67B81AE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22" w:type="pct"/>
            <w:shd w:val="clear" w:color="auto" w:fill="auto"/>
            <w:vAlign w:val="center"/>
          </w:tcPr>
          <w:p w14:paraId="3B322F1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03" w:type="pct"/>
            <w:shd w:val="clear" w:color="auto" w:fill="auto"/>
            <w:vAlign w:val="center"/>
          </w:tcPr>
          <w:p w14:paraId="6105FF6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6FC4EAA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5EBAD82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013C261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092356E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46A8884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6D7FF41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6ACDF6A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2" w:type="pct"/>
            <w:shd w:val="clear" w:color="auto" w:fill="auto"/>
            <w:vAlign w:val="center"/>
          </w:tcPr>
          <w:p w14:paraId="2D91D4D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03B613E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03FDDE4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5F7F1A4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6A8279B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7" w:type="pct"/>
            <w:shd w:val="clear" w:color="auto" w:fill="auto"/>
            <w:vAlign w:val="center"/>
          </w:tcPr>
          <w:p w14:paraId="260420A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52BBA7A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3" w:type="pct"/>
            <w:shd w:val="clear" w:color="auto" w:fill="auto"/>
            <w:vAlign w:val="center"/>
          </w:tcPr>
          <w:p w14:paraId="0431AE58">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pct"/>
            <w:vAlign w:val="center"/>
          </w:tcPr>
          <w:p w14:paraId="1ABC393B">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531A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atLeast"/>
          <w:jc w:val="center"/>
        </w:trPr>
        <w:tc>
          <w:tcPr>
            <w:tcW w:w="275" w:type="pct"/>
            <w:vMerge w:val="continue"/>
            <w:vAlign w:val="center"/>
          </w:tcPr>
          <w:p w14:paraId="1D6BB8AC">
            <w:pPr>
              <w:pStyle w:val="2"/>
              <w:pageBreakBefore w:val="0"/>
              <w:kinsoku/>
              <w:wordWrap/>
              <w:overflowPunct/>
              <w:topLinePunct w:val="0"/>
              <w:bidi w:val="0"/>
              <w:spacing w:after="0" w:line="360" w:lineRule="exact"/>
              <w:jc w:val="center"/>
              <w:rPr>
                <w:rFonts w:ascii="宋体" w:hAnsi="宋体" w:cs="宋体"/>
                <w:sz w:val="18"/>
                <w:szCs w:val="18"/>
              </w:rPr>
            </w:pPr>
          </w:p>
        </w:tc>
        <w:tc>
          <w:tcPr>
            <w:tcW w:w="266" w:type="pct"/>
            <w:vAlign w:val="center"/>
          </w:tcPr>
          <w:p w14:paraId="1BA10DF4">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222" w:type="pct"/>
            <w:shd w:val="clear" w:color="auto" w:fill="auto"/>
            <w:vAlign w:val="center"/>
          </w:tcPr>
          <w:p w14:paraId="07CE4D92">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5830F8C8">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2" w:type="pct"/>
            <w:shd w:val="clear" w:color="auto" w:fill="auto"/>
            <w:vAlign w:val="center"/>
          </w:tcPr>
          <w:p w14:paraId="00290851">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3" w:type="pct"/>
            <w:shd w:val="clear" w:color="auto" w:fill="auto"/>
            <w:vAlign w:val="center"/>
          </w:tcPr>
          <w:p w14:paraId="6BEF4651">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06862C46">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6" w:type="pct"/>
            <w:shd w:val="clear" w:color="auto" w:fill="auto"/>
            <w:vAlign w:val="center"/>
          </w:tcPr>
          <w:p w14:paraId="6A82AAFF">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3EEAF2D3">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18067717">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9" w:type="pct"/>
            <w:shd w:val="clear" w:color="auto" w:fill="auto"/>
            <w:vAlign w:val="center"/>
          </w:tcPr>
          <w:p w14:paraId="7D6DA48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09" w:type="pct"/>
            <w:shd w:val="clear" w:color="auto" w:fill="auto"/>
            <w:vAlign w:val="center"/>
          </w:tcPr>
          <w:p w14:paraId="652E327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16" w:type="pct"/>
            <w:shd w:val="clear" w:color="auto" w:fill="auto"/>
            <w:vAlign w:val="center"/>
          </w:tcPr>
          <w:p w14:paraId="6694DB7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12" w:type="pct"/>
            <w:shd w:val="clear" w:color="auto" w:fill="auto"/>
            <w:vAlign w:val="center"/>
          </w:tcPr>
          <w:p w14:paraId="3BB6ACA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16" w:type="pct"/>
            <w:shd w:val="clear" w:color="auto" w:fill="auto"/>
            <w:vAlign w:val="center"/>
          </w:tcPr>
          <w:p w14:paraId="773A5C8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17" w:type="pct"/>
            <w:shd w:val="clear" w:color="auto" w:fill="auto"/>
            <w:vAlign w:val="center"/>
          </w:tcPr>
          <w:p w14:paraId="47884FF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17" w:type="pct"/>
            <w:shd w:val="clear" w:color="auto" w:fill="auto"/>
            <w:vAlign w:val="center"/>
          </w:tcPr>
          <w:p w14:paraId="3776B90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09" w:type="pct"/>
            <w:shd w:val="clear" w:color="auto" w:fill="auto"/>
            <w:vAlign w:val="center"/>
          </w:tcPr>
          <w:p w14:paraId="60C9278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17" w:type="pct"/>
            <w:shd w:val="clear" w:color="auto" w:fill="auto"/>
            <w:vAlign w:val="center"/>
          </w:tcPr>
          <w:p w14:paraId="6713895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rPr>
              <w:t>/</w:t>
            </w:r>
          </w:p>
        </w:tc>
        <w:tc>
          <w:tcPr>
            <w:tcW w:w="209" w:type="pct"/>
            <w:shd w:val="clear" w:color="auto" w:fill="auto"/>
            <w:vAlign w:val="center"/>
          </w:tcPr>
          <w:p w14:paraId="68316D2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Cs w:val="21"/>
              </w:rPr>
              <w:t>◎</w:t>
            </w:r>
          </w:p>
        </w:tc>
        <w:tc>
          <w:tcPr>
            <w:tcW w:w="213" w:type="pct"/>
            <w:shd w:val="clear" w:color="auto" w:fill="auto"/>
            <w:vAlign w:val="center"/>
          </w:tcPr>
          <w:p w14:paraId="2FA822F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397" w:type="pct"/>
            <w:vAlign w:val="center"/>
          </w:tcPr>
          <w:p w14:paraId="4A9635EE">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bl>
    <w:p w14:paraId="16589DE7">
      <w:pPr>
        <w:pageBreakBefore w:val="0"/>
        <w:kinsoku/>
        <w:wordWrap/>
        <w:overflowPunct/>
        <w:topLinePunct w:val="0"/>
        <w:bidi w:val="0"/>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 /毕业设计；</w:t>
      </w:r>
    </w:p>
    <w:p w14:paraId="74A8BC33">
      <w:pPr>
        <w:pageBreakBefore w:val="0"/>
        <w:kinsoku/>
        <w:wordWrap/>
        <w:overflowPunct/>
        <w:topLinePunct w:val="0"/>
        <w:bidi w:val="0"/>
        <w:spacing w:line="360" w:lineRule="exact"/>
        <w:ind w:firstLine="630" w:firstLineChars="300"/>
        <w:rPr>
          <w:rFonts w:ascii="宋体" w:hAnsi="宋体" w:cs="宋体"/>
          <w:szCs w:val="21"/>
        </w:rPr>
      </w:pPr>
      <w:r>
        <w:rPr>
          <w:rFonts w:hint="eastAsia" w:ascii="宋体" w:hAnsi="宋体" w:cs="宋体"/>
          <w:szCs w:val="21"/>
        </w:rPr>
        <w:t>☆军事技能训练及入学教育；◎毕业教育，融入毕业设计环节。</w:t>
      </w:r>
    </w:p>
    <w:p w14:paraId="3611AFD3">
      <w:r>
        <w:br w:type="page"/>
      </w:r>
    </w:p>
    <w:p w14:paraId="3777FC12">
      <w:pPr>
        <w:pStyle w:val="4"/>
        <w:pageBreakBefore w:val="0"/>
        <w:kinsoku/>
        <w:wordWrap/>
        <w:overflowPunct/>
        <w:topLinePunct w:val="0"/>
        <w:bidi w:val="0"/>
        <w:adjustRightInd w:val="0"/>
        <w:snapToGrid w:val="0"/>
        <w:spacing w:before="0" w:beforeLines="0" w:after="0" w:afterLines="0" w:line="360" w:lineRule="exact"/>
        <w:ind w:firstLine="422" w:firstLineChars="200"/>
        <w:rPr>
          <w:rFonts w:ascii="宋体" w:hAnsi="宋体"/>
          <w:bCs/>
          <w:sz w:val="21"/>
          <w:szCs w:val="21"/>
        </w:rPr>
      </w:pPr>
      <w:r>
        <w:rPr>
          <w:rFonts w:hint="eastAsia"/>
          <w:sz w:val="21"/>
          <w:szCs w:val="21"/>
        </w:rPr>
        <w:t>（三）专业教学进程表</w:t>
      </w:r>
    </w:p>
    <w:p w14:paraId="277C7429">
      <w:pPr>
        <w:pageBreakBefore w:val="0"/>
        <w:kinsoku/>
        <w:wordWrap/>
        <w:overflowPunct/>
        <w:topLinePunct w:val="0"/>
        <w:bidi w:val="0"/>
        <w:spacing w:line="360" w:lineRule="exact"/>
        <w:ind w:firstLine="422" w:firstLineChars="200"/>
        <w:jc w:val="center"/>
        <w:rPr>
          <w:b/>
          <w:bCs/>
          <w:szCs w:val="21"/>
        </w:rPr>
      </w:pPr>
      <w:r>
        <w:rPr>
          <w:rFonts w:hint="eastAsia" w:ascii="宋体" w:hAnsi="宋体"/>
          <w:b/>
          <w:bCs/>
          <w:szCs w:val="21"/>
        </w:rPr>
        <w:t>专业教学进度安排表</w:t>
      </w:r>
    </w:p>
    <w:tbl>
      <w:tblPr>
        <w:tblStyle w:val="14"/>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01"/>
        <w:gridCol w:w="2322"/>
        <w:gridCol w:w="437"/>
        <w:gridCol w:w="490"/>
        <w:gridCol w:w="573"/>
        <w:gridCol w:w="509"/>
        <w:gridCol w:w="427"/>
        <w:gridCol w:w="437"/>
        <w:gridCol w:w="440"/>
        <w:gridCol w:w="450"/>
        <w:gridCol w:w="452"/>
        <w:gridCol w:w="462"/>
        <w:gridCol w:w="450"/>
        <w:gridCol w:w="474"/>
        <w:gridCol w:w="600"/>
      </w:tblGrid>
      <w:tr w14:paraId="5AF1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43093663">
            <w:pPr>
              <w:pageBreakBefore w:val="0"/>
              <w:widowControl/>
              <w:kinsoku/>
              <w:wordWrap/>
              <w:overflowPunct/>
              <w:topLinePunct w:val="0"/>
              <w:bidi w:val="0"/>
              <w:spacing w:line="360" w:lineRule="exact"/>
              <w:rPr>
                <w:rFonts w:ascii="宋体" w:hAnsi="宋体" w:cs="宋体"/>
                <w:color w:val="000000"/>
                <w:kern w:val="0"/>
                <w:szCs w:val="21"/>
              </w:rPr>
            </w:pPr>
            <w:r>
              <w:rPr>
                <w:rFonts w:hint="eastAsia" w:ascii="宋体" w:hAnsi="宋体" w:cs="宋体"/>
                <w:color w:val="000000"/>
                <w:kern w:val="0"/>
                <w:szCs w:val="21"/>
              </w:rPr>
              <w:t>课程类别</w:t>
            </w:r>
          </w:p>
          <w:p w14:paraId="08A71E5C">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kern w:val="0"/>
                <w:szCs w:val="21"/>
              </w:rPr>
              <w:t>课程性质</w:t>
            </w:r>
          </w:p>
        </w:tc>
        <w:tc>
          <w:tcPr>
            <w:tcW w:w="396" w:type="dxa"/>
            <w:vMerge w:val="restart"/>
            <w:vAlign w:val="center"/>
          </w:tcPr>
          <w:p w14:paraId="58BDDE5F">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序号</w:t>
            </w:r>
          </w:p>
        </w:tc>
        <w:tc>
          <w:tcPr>
            <w:tcW w:w="901" w:type="dxa"/>
            <w:vMerge w:val="restart"/>
            <w:vAlign w:val="center"/>
          </w:tcPr>
          <w:p w14:paraId="519EF68A">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课程代码</w:t>
            </w:r>
          </w:p>
        </w:tc>
        <w:tc>
          <w:tcPr>
            <w:tcW w:w="2322" w:type="dxa"/>
            <w:vMerge w:val="restart"/>
            <w:vAlign w:val="center"/>
          </w:tcPr>
          <w:p w14:paraId="54376DDB">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课程名称</w:t>
            </w:r>
          </w:p>
        </w:tc>
        <w:tc>
          <w:tcPr>
            <w:tcW w:w="437" w:type="dxa"/>
            <w:vMerge w:val="restart"/>
            <w:vAlign w:val="center"/>
          </w:tcPr>
          <w:p w14:paraId="50F8D9CB">
            <w:pPr>
              <w:pageBreakBefore w:val="0"/>
              <w:widowControl/>
              <w:kinsoku/>
              <w:wordWrap/>
              <w:overflowPunct/>
              <w:topLinePunct w:val="0"/>
              <w:bidi w:val="0"/>
              <w:spacing w:line="36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课程类型</w:t>
            </w:r>
          </w:p>
        </w:tc>
        <w:tc>
          <w:tcPr>
            <w:tcW w:w="490" w:type="dxa"/>
            <w:vMerge w:val="restart"/>
            <w:vAlign w:val="center"/>
          </w:tcPr>
          <w:p w14:paraId="125B2B25">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p w14:paraId="7E289AF8">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总学时</w:t>
            </w:r>
          </w:p>
        </w:tc>
        <w:tc>
          <w:tcPr>
            <w:tcW w:w="573" w:type="dxa"/>
            <w:vMerge w:val="restart"/>
            <w:vAlign w:val="center"/>
          </w:tcPr>
          <w:p w14:paraId="599BB9EC">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理论学时</w:t>
            </w:r>
          </w:p>
        </w:tc>
        <w:tc>
          <w:tcPr>
            <w:tcW w:w="509" w:type="dxa"/>
            <w:vMerge w:val="restart"/>
            <w:vAlign w:val="center"/>
          </w:tcPr>
          <w:p w14:paraId="2A43560C">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实践学时</w:t>
            </w:r>
          </w:p>
        </w:tc>
        <w:tc>
          <w:tcPr>
            <w:tcW w:w="427" w:type="dxa"/>
            <w:vMerge w:val="restart"/>
            <w:vAlign w:val="center"/>
          </w:tcPr>
          <w:p w14:paraId="7049743D">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总学分</w:t>
            </w:r>
          </w:p>
          <w:p w14:paraId="5A29E382">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2691" w:type="dxa"/>
            <w:gridSpan w:val="6"/>
            <w:vAlign w:val="center"/>
          </w:tcPr>
          <w:p w14:paraId="17F5AF92">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按学年、学期及学期学时分配</w:t>
            </w:r>
          </w:p>
        </w:tc>
        <w:tc>
          <w:tcPr>
            <w:tcW w:w="474" w:type="dxa"/>
            <w:vMerge w:val="restart"/>
            <w:vAlign w:val="center"/>
          </w:tcPr>
          <w:p w14:paraId="01447D51">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考核方式</w:t>
            </w:r>
          </w:p>
        </w:tc>
        <w:tc>
          <w:tcPr>
            <w:tcW w:w="600" w:type="dxa"/>
            <w:vMerge w:val="restart"/>
            <w:vAlign w:val="center"/>
          </w:tcPr>
          <w:p w14:paraId="14A98FBA">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备注</w:t>
            </w:r>
          </w:p>
        </w:tc>
      </w:tr>
      <w:tr w14:paraId="244D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12FF438C">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396" w:type="dxa"/>
            <w:vMerge w:val="continue"/>
            <w:vAlign w:val="center"/>
          </w:tcPr>
          <w:p w14:paraId="0872D6B7">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901" w:type="dxa"/>
            <w:vMerge w:val="continue"/>
            <w:vAlign w:val="center"/>
          </w:tcPr>
          <w:p w14:paraId="3DE563C0">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2322" w:type="dxa"/>
            <w:vMerge w:val="continue"/>
            <w:vAlign w:val="center"/>
          </w:tcPr>
          <w:p w14:paraId="5C8E1897">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437" w:type="dxa"/>
            <w:vMerge w:val="continue"/>
            <w:vAlign w:val="center"/>
          </w:tcPr>
          <w:p w14:paraId="2106A6EA">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490" w:type="dxa"/>
            <w:vMerge w:val="continue"/>
            <w:vAlign w:val="center"/>
          </w:tcPr>
          <w:p w14:paraId="6E168A4B">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573" w:type="dxa"/>
            <w:vMerge w:val="continue"/>
            <w:vAlign w:val="center"/>
          </w:tcPr>
          <w:p w14:paraId="40E63640">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509" w:type="dxa"/>
            <w:vMerge w:val="continue"/>
            <w:vAlign w:val="center"/>
          </w:tcPr>
          <w:p w14:paraId="7A4B55F9">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427" w:type="dxa"/>
            <w:vMerge w:val="continue"/>
            <w:vAlign w:val="center"/>
          </w:tcPr>
          <w:p w14:paraId="1F5F482E">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877" w:type="dxa"/>
            <w:gridSpan w:val="2"/>
            <w:vAlign w:val="center"/>
          </w:tcPr>
          <w:p w14:paraId="60237025">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第一学年</w:t>
            </w:r>
          </w:p>
        </w:tc>
        <w:tc>
          <w:tcPr>
            <w:tcW w:w="902" w:type="dxa"/>
            <w:gridSpan w:val="2"/>
            <w:vAlign w:val="center"/>
          </w:tcPr>
          <w:p w14:paraId="7F1443BE">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第二学年</w:t>
            </w:r>
          </w:p>
        </w:tc>
        <w:tc>
          <w:tcPr>
            <w:tcW w:w="912" w:type="dxa"/>
            <w:gridSpan w:val="2"/>
            <w:vAlign w:val="center"/>
          </w:tcPr>
          <w:p w14:paraId="76DEB811">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第三学年</w:t>
            </w:r>
          </w:p>
        </w:tc>
        <w:tc>
          <w:tcPr>
            <w:tcW w:w="474" w:type="dxa"/>
            <w:vMerge w:val="continue"/>
            <w:vAlign w:val="center"/>
          </w:tcPr>
          <w:p w14:paraId="59159590">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600" w:type="dxa"/>
            <w:vMerge w:val="continue"/>
            <w:vAlign w:val="center"/>
          </w:tcPr>
          <w:p w14:paraId="1B1F5D6A">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r>
      <w:tr w14:paraId="7358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05105E54">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396" w:type="dxa"/>
            <w:vMerge w:val="continue"/>
            <w:vAlign w:val="center"/>
          </w:tcPr>
          <w:p w14:paraId="6951F298">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901" w:type="dxa"/>
            <w:vMerge w:val="continue"/>
            <w:vAlign w:val="center"/>
          </w:tcPr>
          <w:p w14:paraId="29EF1E13">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2322" w:type="dxa"/>
            <w:vMerge w:val="continue"/>
            <w:vAlign w:val="center"/>
          </w:tcPr>
          <w:p w14:paraId="6896C725">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437" w:type="dxa"/>
            <w:vMerge w:val="continue"/>
            <w:vAlign w:val="center"/>
          </w:tcPr>
          <w:p w14:paraId="00FD05E0">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490" w:type="dxa"/>
            <w:vMerge w:val="continue"/>
            <w:vAlign w:val="center"/>
          </w:tcPr>
          <w:p w14:paraId="3D90FF13">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573" w:type="dxa"/>
            <w:vMerge w:val="continue"/>
            <w:vAlign w:val="center"/>
          </w:tcPr>
          <w:p w14:paraId="7870FF74">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509" w:type="dxa"/>
            <w:vMerge w:val="continue"/>
            <w:vAlign w:val="center"/>
          </w:tcPr>
          <w:p w14:paraId="53A27376">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427" w:type="dxa"/>
            <w:vMerge w:val="continue"/>
            <w:vAlign w:val="center"/>
          </w:tcPr>
          <w:p w14:paraId="64F2C7EF">
            <w:pPr>
              <w:pageBreakBefore w:val="0"/>
              <w:widowControl/>
              <w:kinsoku/>
              <w:wordWrap/>
              <w:overflowPunct/>
              <w:topLinePunct w:val="0"/>
              <w:bidi w:val="0"/>
              <w:spacing w:line="360" w:lineRule="exact"/>
              <w:jc w:val="left"/>
              <w:rPr>
                <w:rFonts w:ascii="宋体" w:hAnsi="宋体" w:cs="宋体"/>
                <w:color w:val="000000" w:themeColor="text1"/>
                <w:kern w:val="0"/>
                <w:szCs w:val="21"/>
                <w14:textFill>
                  <w14:solidFill>
                    <w14:schemeClr w14:val="tx1"/>
                  </w14:solidFill>
                </w14:textFill>
              </w:rPr>
            </w:pPr>
          </w:p>
        </w:tc>
        <w:tc>
          <w:tcPr>
            <w:tcW w:w="437" w:type="dxa"/>
            <w:vAlign w:val="center"/>
          </w:tcPr>
          <w:p w14:paraId="0FEDE53A">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第一学期</w:t>
            </w:r>
          </w:p>
        </w:tc>
        <w:tc>
          <w:tcPr>
            <w:tcW w:w="440" w:type="dxa"/>
            <w:vAlign w:val="center"/>
          </w:tcPr>
          <w:p w14:paraId="0D7299E8">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第二学期</w:t>
            </w:r>
          </w:p>
        </w:tc>
        <w:tc>
          <w:tcPr>
            <w:tcW w:w="450" w:type="dxa"/>
            <w:vAlign w:val="center"/>
          </w:tcPr>
          <w:p w14:paraId="62F14074">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第三学期</w:t>
            </w:r>
          </w:p>
        </w:tc>
        <w:tc>
          <w:tcPr>
            <w:tcW w:w="452" w:type="dxa"/>
            <w:vAlign w:val="center"/>
          </w:tcPr>
          <w:p w14:paraId="253EAFC5">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第四学期</w:t>
            </w:r>
          </w:p>
        </w:tc>
        <w:tc>
          <w:tcPr>
            <w:tcW w:w="462" w:type="dxa"/>
            <w:vAlign w:val="center"/>
          </w:tcPr>
          <w:p w14:paraId="05E9BDC3">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第五学期</w:t>
            </w:r>
          </w:p>
        </w:tc>
        <w:tc>
          <w:tcPr>
            <w:tcW w:w="450" w:type="dxa"/>
            <w:vAlign w:val="center"/>
          </w:tcPr>
          <w:p w14:paraId="4CFCF01C">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第六学期</w:t>
            </w:r>
          </w:p>
        </w:tc>
        <w:tc>
          <w:tcPr>
            <w:tcW w:w="474" w:type="dxa"/>
            <w:vMerge w:val="continue"/>
            <w:vAlign w:val="center"/>
          </w:tcPr>
          <w:p w14:paraId="31D4A4C0">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c>
          <w:tcPr>
            <w:tcW w:w="600" w:type="dxa"/>
            <w:vMerge w:val="continue"/>
            <w:vAlign w:val="center"/>
          </w:tcPr>
          <w:p w14:paraId="2A3A6259">
            <w:pPr>
              <w:pageBreakBefore w:val="0"/>
              <w:widowControl/>
              <w:kinsoku/>
              <w:wordWrap/>
              <w:overflowPunct/>
              <w:topLinePunct w:val="0"/>
              <w:bidi w:val="0"/>
              <w:spacing w:line="360" w:lineRule="exact"/>
              <w:jc w:val="center"/>
              <w:rPr>
                <w:rFonts w:ascii="宋体" w:hAnsi="宋体" w:cs="宋体"/>
                <w:color w:val="000000" w:themeColor="text1"/>
                <w:kern w:val="0"/>
                <w:szCs w:val="21"/>
                <w14:textFill>
                  <w14:solidFill>
                    <w14:schemeClr w14:val="tx1"/>
                  </w14:solidFill>
                </w14:textFill>
              </w:rPr>
            </w:pPr>
          </w:p>
        </w:tc>
      </w:tr>
      <w:tr w14:paraId="4F65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vAlign w:val="center"/>
          </w:tcPr>
          <w:p w14:paraId="4EC6038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bookmarkStart w:id="27" w:name="OLE_LINK22" w:colFirst="6" w:colLast="13"/>
            <w:r>
              <w:rPr>
                <w:rFonts w:hint="eastAsia" w:ascii="宋体" w:hAnsi="宋体" w:cs="宋体"/>
                <w:color w:val="000000" w:themeColor="text1"/>
                <w:kern w:val="0"/>
                <w:sz w:val="18"/>
                <w:szCs w:val="18"/>
                <w14:textFill>
                  <w14:solidFill>
                    <w14:schemeClr w14:val="tx1"/>
                  </w14:solidFill>
                </w14:textFill>
              </w:rPr>
              <w:t>公共基础课</w:t>
            </w:r>
          </w:p>
        </w:tc>
        <w:tc>
          <w:tcPr>
            <w:tcW w:w="419" w:type="dxa"/>
            <w:vMerge w:val="restart"/>
            <w:vAlign w:val="center"/>
          </w:tcPr>
          <w:p w14:paraId="2E13B40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必修课</w:t>
            </w:r>
          </w:p>
        </w:tc>
        <w:tc>
          <w:tcPr>
            <w:tcW w:w="396" w:type="dxa"/>
            <w:vAlign w:val="center"/>
          </w:tcPr>
          <w:p w14:paraId="06B5F36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0CFFE27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000000G</w:t>
            </w:r>
          </w:p>
        </w:tc>
        <w:tc>
          <w:tcPr>
            <w:tcW w:w="2322" w:type="dxa"/>
            <w:vAlign w:val="center"/>
          </w:tcPr>
          <w:p w14:paraId="6831282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军事技能训练</w:t>
            </w:r>
          </w:p>
        </w:tc>
        <w:tc>
          <w:tcPr>
            <w:tcW w:w="437" w:type="dxa"/>
            <w:vAlign w:val="center"/>
          </w:tcPr>
          <w:p w14:paraId="6326CEF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C</w:t>
            </w:r>
          </w:p>
        </w:tc>
        <w:tc>
          <w:tcPr>
            <w:tcW w:w="490" w:type="dxa"/>
            <w:vAlign w:val="center"/>
          </w:tcPr>
          <w:p w14:paraId="19CD8319">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573" w:type="dxa"/>
            <w:vAlign w:val="center"/>
          </w:tcPr>
          <w:p w14:paraId="5B687DE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3E80F5B3">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112</w:t>
            </w:r>
          </w:p>
        </w:tc>
        <w:tc>
          <w:tcPr>
            <w:tcW w:w="427" w:type="dxa"/>
            <w:vAlign w:val="center"/>
          </w:tcPr>
          <w:p w14:paraId="2516013F">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437" w:type="dxa"/>
            <w:vAlign w:val="center"/>
          </w:tcPr>
          <w:p w14:paraId="38E4061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w:t>
            </w:r>
          </w:p>
        </w:tc>
        <w:tc>
          <w:tcPr>
            <w:tcW w:w="440" w:type="dxa"/>
            <w:vAlign w:val="center"/>
          </w:tcPr>
          <w:p w14:paraId="4E7E26B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52A6C1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6567A4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27C8526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65BAE7F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3D1FF46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2E6DE83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B97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vAlign w:val="center"/>
          </w:tcPr>
          <w:p w14:paraId="2E140ED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86372D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C8FEF7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4BD27C6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w:t>
            </w:r>
          </w:p>
        </w:tc>
        <w:tc>
          <w:tcPr>
            <w:tcW w:w="2322" w:type="dxa"/>
            <w:shd w:val="clear" w:color="auto" w:fill="auto"/>
            <w:vAlign w:val="center"/>
          </w:tcPr>
          <w:p w14:paraId="76F7C9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军事理论</w:t>
            </w:r>
          </w:p>
        </w:tc>
        <w:tc>
          <w:tcPr>
            <w:tcW w:w="437" w:type="dxa"/>
            <w:shd w:val="clear" w:color="auto" w:fill="auto"/>
            <w:vAlign w:val="center"/>
          </w:tcPr>
          <w:p w14:paraId="0E98B4F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D38FEC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573" w:type="dxa"/>
            <w:shd w:val="clear" w:color="auto" w:fill="auto"/>
            <w:vAlign w:val="center"/>
          </w:tcPr>
          <w:p w14:paraId="646F7DD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509" w:type="dxa"/>
            <w:shd w:val="clear" w:color="auto" w:fill="auto"/>
            <w:vAlign w:val="center"/>
          </w:tcPr>
          <w:p w14:paraId="6B91971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t>
            </w:r>
          </w:p>
        </w:tc>
        <w:tc>
          <w:tcPr>
            <w:tcW w:w="427" w:type="dxa"/>
            <w:shd w:val="clear" w:color="auto" w:fill="auto"/>
            <w:vAlign w:val="center"/>
          </w:tcPr>
          <w:p w14:paraId="5F288E8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0DE08A4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40" w:type="dxa"/>
            <w:vAlign w:val="center"/>
          </w:tcPr>
          <w:p w14:paraId="4B01E05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3BC71C5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60E5924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53C7192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62B04E7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35A2377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600" w:type="dxa"/>
            <w:vAlign w:val="center"/>
          </w:tcPr>
          <w:p w14:paraId="7C331D3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039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vAlign w:val="center"/>
          </w:tcPr>
          <w:p w14:paraId="0EF3A36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F284FD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1ADBFA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3EBBD12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w:t>
            </w:r>
          </w:p>
        </w:tc>
        <w:tc>
          <w:tcPr>
            <w:tcW w:w="2322" w:type="dxa"/>
            <w:shd w:val="clear" w:color="auto" w:fill="auto"/>
            <w:vAlign w:val="center"/>
          </w:tcPr>
          <w:p w14:paraId="20F43F9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思想道德与法治</w:t>
            </w:r>
          </w:p>
        </w:tc>
        <w:tc>
          <w:tcPr>
            <w:tcW w:w="437" w:type="dxa"/>
            <w:shd w:val="clear" w:color="auto" w:fill="auto"/>
            <w:vAlign w:val="center"/>
          </w:tcPr>
          <w:p w14:paraId="38B4D6E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CD0966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3" w:type="dxa"/>
            <w:shd w:val="clear" w:color="auto" w:fill="auto"/>
            <w:vAlign w:val="center"/>
          </w:tcPr>
          <w:p w14:paraId="13B0A93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09" w:type="dxa"/>
            <w:shd w:val="clear" w:color="auto" w:fill="auto"/>
            <w:vAlign w:val="center"/>
          </w:tcPr>
          <w:p w14:paraId="1A591BD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427" w:type="dxa"/>
            <w:shd w:val="clear" w:color="auto" w:fill="auto"/>
            <w:vAlign w:val="center"/>
          </w:tcPr>
          <w:p w14:paraId="74659A1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7" w:type="dxa"/>
            <w:shd w:val="clear" w:color="auto" w:fill="auto"/>
            <w:vAlign w:val="center"/>
          </w:tcPr>
          <w:p w14:paraId="54FC481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40" w:type="dxa"/>
            <w:shd w:val="clear" w:color="auto" w:fill="auto"/>
            <w:vAlign w:val="center"/>
          </w:tcPr>
          <w:p w14:paraId="7EB306E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B42A08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71640B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57B232C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27F580C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57A301A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600" w:type="dxa"/>
            <w:vAlign w:val="center"/>
          </w:tcPr>
          <w:p w14:paraId="2B56F7A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8E5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7601808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33BD18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9CAC74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0D98472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w:t>
            </w:r>
          </w:p>
        </w:tc>
        <w:tc>
          <w:tcPr>
            <w:tcW w:w="2322" w:type="dxa"/>
            <w:shd w:val="clear" w:color="auto" w:fill="auto"/>
            <w:vAlign w:val="center"/>
          </w:tcPr>
          <w:p w14:paraId="0678625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毛泽东思想和中国特色社会主义理论体系概论</w:t>
            </w:r>
          </w:p>
        </w:tc>
        <w:tc>
          <w:tcPr>
            <w:tcW w:w="437" w:type="dxa"/>
            <w:shd w:val="clear" w:color="auto" w:fill="auto"/>
            <w:vAlign w:val="center"/>
          </w:tcPr>
          <w:p w14:paraId="1669E22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77ACACA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3" w:type="dxa"/>
            <w:shd w:val="clear" w:color="auto" w:fill="auto"/>
            <w:vAlign w:val="center"/>
          </w:tcPr>
          <w:p w14:paraId="41F8A76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30</w:t>
            </w:r>
          </w:p>
        </w:tc>
        <w:tc>
          <w:tcPr>
            <w:tcW w:w="509" w:type="dxa"/>
            <w:shd w:val="clear" w:color="auto" w:fill="auto"/>
            <w:vAlign w:val="center"/>
          </w:tcPr>
          <w:p w14:paraId="17FBE60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w:t>
            </w:r>
          </w:p>
        </w:tc>
        <w:tc>
          <w:tcPr>
            <w:tcW w:w="427" w:type="dxa"/>
            <w:shd w:val="clear" w:color="auto" w:fill="auto"/>
            <w:vAlign w:val="center"/>
          </w:tcPr>
          <w:p w14:paraId="6694823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24FAE5E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128EF76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0" w:type="dxa"/>
            <w:shd w:val="clear" w:color="auto" w:fill="auto"/>
            <w:vAlign w:val="center"/>
          </w:tcPr>
          <w:p w14:paraId="6E91866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63E72C6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16357DC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250FA25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1372679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600" w:type="dxa"/>
            <w:vAlign w:val="center"/>
          </w:tcPr>
          <w:p w14:paraId="706D5F6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87B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vAlign w:val="center"/>
          </w:tcPr>
          <w:p w14:paraId="44F85AD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B29D18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3032F6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5106295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12</w:t>
            </w:r>
            <w:r>
              <w:rPr>
                <w:rFonts w:hint="eastAsia" w:ascii="宋体" w:hAnsi="宋体" w:cs="宋体"/>
                <w:color w:val="000000" w:themeColor="text1"/>
                <w:kern w:val="0"/>
                <w:sz w:val="18"/>
                <w:szCs w:val="18"/>
                <w14:textFill>
                  <w14:solidFill>
                    <w14:schemeClr w14:val="tx1"/>
                  </w14:solidFill>
                </w14:textFill>
              </w:rPr>
              <w:t>G</w:t>
            </w:r>
          </w:p>
        </w:tc>
        <w:tc>
          <w:tcPr>
            <w:tcW w:w="2322" w:type="dxa"/>
            <w:shd w:val="clear" w:color="auto" w:fill="auto"/>
            <w:vAlign w:val="center"/>
          </w:tcPr>
          <w:p w14:paraId="244364F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习近平新时代中国特色社会主义思想概论</w:t>
            </w:r>
          </w:p>
        </w:tc>
        <w:tc>
          <w:tcPr>
            <w:tcW w:w="437" w:type="dxa"/>
            <w:shd w:val="clear" w:color="auto" w:fill="auto"/>
            <w:vAlign w:val="center"/>
          </w:tcPr>
          <w:p w14:paraId="4200297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07114ED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48</w:t>
            </w:r>
          </w:p>
        </w:tc>
        <w:tc>
          <w:tcPr>
            <w:tcW w:w="573" w:type="dxa"/>
            <w:shd w:val="clear" w:color="auto" w:fill="auto"/>
            <w:vAlign w:val="center"/>
          </w:tcPr>
          <w:p w14:paraId="0C92B90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42</w:t>
            </w:r>
          </w:p>
        </w:tc>
        <w:tc>
          <w:tcPr>
            <w:tcW w:w="509" w:type="dxa"/>
            <w:shd w:val="clear" w:color="auto" w:fill="auto"/>
            <w:vAlign w:val="center"/>
          </w:tcPr>
          <w:p w14:paraId="5BA7B21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6</w:t>
            </w:r>
          </w:p>
        </w:tc>
        <w:tc>
          <w:tcPr>
            <w:tcW w:w="427" w:type="dxa"/>
            <w:shd w:val="clear" w:color="auto" w:fill="auto"/>
            <w:vAlign w:val="center"/>
          </w:tcPr>
          <w:p w14:paraId="1E5C10E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437" w:type="dxa"/>
            <w:shd w:val="clear" w:color="auto" w:fill="auto"/>
            <w:vAlign w:val="center"/>
          </w:tcPr>
          <w:p w14:paraId="4A3C9A4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562DBB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4B1AC1B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48</w:t>
            </w:r>
          </w:p>
        </w:tc>
        <w:tc>
          <w:tcPr>
            <w:tcW w:w="452" w:type="dxa"/>
            <w:shd w:val="clear" w:color="auto" w:fill="auto"/>
            <w:vAlign w:val="center"/>
          </w:tcPr>
          <w:p w14:paraId="4E2829C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457B599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7836725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1771083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②</w:t>
            </w:r>
          </w:p>
        </w:tc>
        <w:tc>
          <w:tcPr>
            <w:tcW w:w="600" w:type="dxa"/>
            <w:vAlign w:val="center"/>
          </w:tcPr>
          <w:p w14:paraId="73D1A35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677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64121B4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C3749D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F7C47D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623686E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w:t>
            </w:r>
          </w:p>
          <w:p w14:paraId="6A8E432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000059G</w:t>
            </w:r>
          </w:p>
          <w:p w14:paraId="565992A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000029G</w:t>
            </w:r>
          </w:p>
          <w:p w14:paraId="7D41041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000039G</w:t>
            </w:r>
          </w:p>
        </w:tc>
        <w:tc>
          <w:tcPr>
            <w:tcW w:w="2322" w:type="dxa"/>
            <w:shd w:val="clear" w:color="auto" w:fill="auto"/>
            <w:vAlign w:val="center"/>
          </w:tcPr>
          <w:p w14:paraId="735F331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形势与政策</w:t>
            </w:r>
          </w:p>
        </w:tc>
        <w:tc>
          <w:tcPr>
            <w:tcW w:w="437" w:type="dxa"/>
            <w:shd w:val="clear" w:color="auto" w:fill="auto"/>
            <w:vAlign w:val="center"/>
          </w:tcPr>
          <w:p w14:paraId="0C842F0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BC0C54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32</w:t>
            </w:r>
          </w:p>
        </w:tc>
        <w:tc>
          <w:tcPr>
            <w:tcW w:w="573" w:type="dxa"/>
            <w:shd w:val="clear" w:color="auto" w:fill="auto"/>
            <w:vAlign w:val="center"/>
          </w:tcPr>
          <w:p w14:paraId="1EEF0E9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24</w:t>
            </w:r>
          </w:p>
        </w:tc>
        <w:tc>
          <w:tcPr>
            <w:tcW w:w="509" w:type="dxa"/>
            <w:shd w:val="clear" w:color="auto" w:fill="auto"/>
            <w:vAlign w:val="center"/>
          </w:tcPr>
          <w:p w14:paraId="2A5CED0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8</w:t>
            </w:r>
          </w:p>
        </w:tc>
        <w:tc>
          <w:tcPr>
            <w:tcW w:w="427" w:type="dxa"/>
            <w:shd w:val="clear" w:color="auto" w:fill="auto"/>
            <w:vAlign w:val="center"/>
          </w:tcPr>
          <w:p w14:paraId="4287D95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7B0DB1A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40" w:type="dxa"/>
            <w:shd w:val="clear" w:color="auto" w:fill="auto"/>
            <w:vAlign w:val="center"/>
          </w:tcPr>
          <w:p w14:paraId="0A77CB0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50" w:type="dxa"/>
            <w:shd w:val="clear" w:color="auto" w:fill="auto"/>
            <w:vAlign w:val="center"/>
          </w:tcPr>
          <w:p w14:paraId="52EB56D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52" w:type="dxa"/>
            <w:shd w:val="clear" w:color="auto" w:fill="auto"/>
            <w:vAlign w:val="center"/>
          </w:tcPr>
          <w:p w14:paraId="438C5AE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62" w:type="dxa"/>
            <w:vAlign w:val="center"/>
          </w:tcPr>
          <w:p w14:paraId="13F585A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69B6275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27C2B2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⑤</w:t>
            </w:r>
          </w:p>
        </w:tc>
        <w:tc>
          <w:tcPr>
            <w:tcW w:w="600" w:type="dxa"/>
            <w:vAlign w:val="center"/>
          </w:tcPr>
          <w:p w14:paraId="017662C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FCE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3CC4EC0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5121C4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FD9597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2DD2945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w:t>
            </w:r>
          </w:p>
          <w:p w14:paraId="63494E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000015G</w:t>
            </w:r>
          </w:p>
        </w:tc>
        <w:tc>
          <w:tcPr>
            <w:tcW w:w="2322" w:type="dxa"/>
            <w:shd w:val="clear" w:color="auto" w:fill="auto"/>
            <w:vAlign w:val="center"/>
          </w:tcPr>
          <w:p w14:paraId="2B9FFC6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大学英语</w:t>
            </w:r>
          </w:p>
        </w:tc>
        <w:tc>
          <w:tcPr>
            <w:tcW w:w="437" w:type="dxa"/>
            <w:shd w:val="clear" w:color="auto" w:fill="auto"/>
            <w:vAlign w:val="center"/>
          </w:tcPr>
          <w:p w14:paraId="54711AB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7935E6C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73" w:type="dxa"/>
            <w:shd w:val="clear" w:color="auto" w:fill="auto"/>
            <w:vAlign w:val="center"/>
          </w:tcPr>
          <w:p w14:paraId="3F16747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128</w:t>
            </w:r>
          </w:p>
        </w:tc>
        <w:tc>
          <w:tcPr>
            <w:tcW w:w="509" w:type="dxa"/>
            <w:shd w:val="clear" w:color="auto" w:fill="auto"/>
            <w:vAlign w:val="center"/>
          </w:tcPr>
          <w:p w14:paraId="7F67B90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27" w:type="dxa"/>
            <w:shd w:val="clear" w:color="auto" w:fill="auto"/>
            <w:vAlign w:val="center"/>
          </w:tcPr>
          <w:p w14:paraId="3DE5B3D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37" w:type="dxa"/>
            <w:shd w:val="clear" w:color="auto" w:fill="auto"/>
            <w:vAlign w:val="center"/>
          </w:tcPr>
          <w:p w14:paraId="1793B90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40" w:type="dxa"/>
            <w:shd w:val="clear" w:color="auto" w:fill="auto"/>
            <w:vAlign w:val="center"/>
          </w:tcPr>
          <w:p w14:paraId="360BF84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0" w:type="dxa"/>
            <w:shd w:val="clear" w:color="auto" w:fill="auto"/>
            <w:vAlign w:val="center"/>
          </w:tcPr>
          <w:p w14:paraId="1DFD9AC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85DBAE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788A82A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5AF9887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6902F9F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④⑤</w:t>
            </w:r>
          </w:p>
        </w:tc>
        <w:tc>
          <w:tcPr>
            <w:tcW w:w="600" w:type="dxa"/>
            <w:vAlign w:val="center"/>
          </w:tcPr>
          <w:p w14:paraId="411C481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0F5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0" w:type="dxa"/>
            <w:vMerge w:val="continue"/>
            <w:vAlign w:val="center"/>
          </w:tcPr>
          <w:p w14:paraId="27C1A4B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5A8314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E92186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31743B6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bookmarkStart w:id="28" w:name="OLE_LINK1"/>
            <w:r>
              <w:rPr>
                <w:rFonts w:ascii="宋体" w:hAnsi="宋体" w:cs="宋体"/>
                <w:color w:val="000000" w:themeColor="text1"/>
                <w:kern w:val="0"/>
                <w:sz w:val="18"/>
                <w:szCs w:val="18"/>
                <w14:textFill>
                  <w14:solidFill>
                    <w14:schemeClr w14:val="tx1"/>
                  </w14:solidFill>
                </w14:textFill>
              </w:rPr>
              <w:t>000007G</w:t>
            </w:r>
            <w:bookmarkEnd w:id="28"/>
            <w:r>
              <w:rPr>
                <w:rFonts w:ascii="宋体" w:hAnsi="宋体" w:cs="宋体"/>
                <w:color w:val="000000" w:themeColor="text1"/>
                <w:kern w:val="0"/>
                <w:sz w:val="18"/>
                <w:szCs w:val="18"/>
                <w14:textFill>
                  <w14:solidFill>
                    <w14:schemeClr w14:val="tx1"/>
                  </w14:solidFill>
                </w14:textFill>
              </w:rPr>
              <w:t>0000</w:t>
            </w:r>
            <w:r>
              <w:rPr>
                <w:rFonts w:hint="eastAsia" w:ascii="宋体" w:hAnsi="宋体" w:cs="宋体"/>
                <w:color w:val="000000" w:themeColor="text1"/>
                <w:kern w:val="0"/>
                <w:sz w:val="18"/>
                <w:szCs w:val="18"/>
                <w14:textFill>
                  <w14:solidFill>
                    <w14:schemeClr w14:val="tx1"/>
                  </w14:solidFill>
                </w14:textFill>
              </w:rPr>
              <w:t>1</w:t>
            </w:r>
            <w:r>
              <w:rPr>
                <w:rFonts w:ascii="宋体" w:hAnsi="宋体" w:cs="宋体"/>
                <w:color w:val="000000" w:themeColor="text1"/>
                <w:kern w:val="0"/>
                <w:sz w:val="18"/>
                <w:szCs w:val="18"/>
                <w14:textFill>
                  <w14:solidFill>
                    <w14:schemeClr w14:val="tx1"/>
                  </w14:solidFill>
                </w14:textFill>
              </w:rPr>
              <w:t>7G0000</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7G</w:t>
            </w:r>
          </w:p>
        </w:tc>
        <w:tc>
          <w:tcPr>
            <w:tcW w:w="2322" w:type="dxa"/>
            <w:shd w:val="clear" w:color="auto" w:fill="auto"/>
            <w:vAlign w:val="center"/>
          </w:tcPr>
          <w:p w14:paraId="6F2F94E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大学体育</w:t>
            </w:r>
          </w:p>
        </w:tc>
        <w:tc>
          <w:tcPr>
            <w:tcW w:w="437" w:type="dxa"/>
            <w:shd w:val="clear" w:color="auto" w:fill="auto"/>
            <w:vAlign w:val="center"/>
          </w:tcPr>
          <w:p w14:paraId="19A41BA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C</w:t>
            </w:r>
          </w:p>
        </w:tc>
        <w:tc>
          <w:tcPr>
            <w:tcW w:w="490" w:type="dxa"/>
            <w:shd w:val="clear" w:color="auto" w:fill="auto"/>
            <w:vAlign w:val="center"/>
          </w:tcPr>
          <w:p w14:paraId="0BDD996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108</w:t>
            </w:r>
          </w:p>
        </w:tc>
        <w:tc>
          <w:tcPr>
            <w:tcW w:w="573" w:type="dxa"/>
            <w:shd w:val="clear" w:color="auto" w:fill="auto"/>
            <w:vAlign w:val="center"/>
          </w:tcPr>
          <w:p w14:paraId="2349786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509" w:type="dxa"/>
            <w:shd w:val="clear" w:color="auto" w:fill="auto"/>
            <w:vAlign w:val="center"/>
          </w:tcPr>
          <w:p w14:paraId="6E0C29E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102</w:t>
            </w:r>
          </w:p>
        </w:tc>
        <w:tc>
          <w:tcPr>
            <w:tcW w:w="427" w:type="dxa"/>
            <w:shd w:val="clear" w:color="auto" w:fill="auto"/>
            <w:vAlign w:val="center"/>
          </w:tcPr>
          <w:p w14:paraId="66BC9E6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437" w:type="dxa"/>
            <w:shd w:val="clear" w:color="auto" w:fill="auto"/>
            <w:vAlign w:val="center"/>
          </w:tcPr>
          <w:p w14:paraId="45A6BFF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40" w:type="dxa"/>
            <w:shd w:val="clear" w:color="auto" w:fill="auto"/>
            <w:vAlign w:val="center"/>
          </w:tcPr>
          <w:p w14:paraId="525B648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0" w:type="dxa"/>
            <w:shd w:val="clear" w:color="auto" w:fill="auto"/>
            <w:vAlign w:val="center"/>
          </w:tcPr>
          <w:p w14:paraId="6BB9B1E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36</w:t>
            </w:r>
          </w:p>
        </w:tc>
        <w:tc>
          <w:tcPr>
            <w:tcW w:w="452" w:type="dxa"/>
            <w:shd w:val="clear" w:color="auto" w:fill="auto"/>
            <w:vAlign w:val="center"/>
          </w:tcPr>
          <w:p w14:paraId="55140F6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5F586DA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5A85B07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5A084D5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③</w:t>
            </w:r>
          </w:p>
        </w:tc>
        <w:tc>
          <w:tcPr>
            <w:tcW w:w="600" w:type="dxa"/>
            <w:vAlign w:val="center"/>
          </w:tcPr>
          <w:p w14:paraId="515ABA7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150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vAlign w:val="center"/>
          </w:tcPr>
          <w:p w14:paraId="1AF15B5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5A3866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C1AE78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w:t>
            </w:r>
          </w:p>
        </w:tc>
        <w:tc>
          <w:tcPr>
            <w:tcW w:w="901" w:type="dxa"/>
            <w:shd w:val="clear" w:color="auto" w:fill="auto"/>
            <w:vAlign w:val="center"/>
          </w:tcPr>
          <w:p w14:paraId="0280D55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w:t>
            </w:r>
          </w:p>
        </w:tc>
        <w:tc>
          <w:tcPr>
            <w:tcW w:w="2322" w:type="dxa"/>
            <w:shd w:val="clear" w:color="auto" w:fill="auto"/>
            <w:vAlign w:val="center"/>
          </w:tcPr>
          <w:p w14:paraId="3DA9FFB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大学生心理健康教育</w:t>
            </w:r>
          </w:p>
        </w:tc>
        <w:tc>
          <w:tcPr>
            <w:tcW w:w="437" w:type="dxa"/>
            <w:shd w:val="clear" w:color="auto" w:fill="auto"/>
            <w:vAlign w:val="center"/>
          </w:tcPr>
          <w:p w14:paraId="5F329D2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1140E27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3392D8A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0A82F7B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27" w:type="dxa"/>
            <w:shd w:val="clear" w:color="auto" w:fill="auto"/>
            <w:vAlign w:val="center"/>
          </w:tcPr>
          <w:p w14:paraId="4317C8C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61981FA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5A9492D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0" w:type="dxa"/>
            <w:shd w:val="clear" w:color="auto" w:fill="auto"/>
            <w:vAlign w:val="center"/>
          </w:tcPr>
          <w:p w14:paraId="3EB47DA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6C04D8D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735F617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3F9F60F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3138FC41">
            <w:pPr>
              <w:pageBreakBefore w:val="0"/>
              <w:widowControl/>
              <w:kinsoku/>
              <w:wordWrap/>
              <w:overflowPunct/>
              <w:topLinePunct w:val="0"/>
              <w:bidi w:val="0"/>
              <w:spacing w:line="360" w:lineRule="exact"/>
              <w:jc w:val="center"/>
              <w:rPr>
                <w:color w:val="000000"/>
                <w:kern w:val="0"/>
                <w:sz w:val="18"/>
                <w:szCs w:val="18"/>
              </w:rPr>
            </w:pPr>
            <w:r>
              <w:rPr>
                <w:rFonts w:hint="eastAsia" w:ascii="宋体" w:hAnsi="宋体"/>
                <w:color w:val="000000"/>
                <w:sz w:val="18"/>
                <w:szCs w:val="18"/>
              </w:rPr>
              <w:t>⑤</w:t>
            </w:r>
          </w:p>
        </w:tc>
        <w:tc>
          <w:tcPr>
            <w:tcW w:w="600" w:type="dxa"/>
            <w:vAlign w:val="center"/>
          </w:tcPr>
          <w:p w14:paraId="5BCEA3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E9E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039D1D8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92FC5C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21D92C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901" w:type="dxa"/>
            <w:shd w:val="clear" w:color="auto" w:fill="auto"/>
            <w:vAlign w:val="center"/>
          </w:tcPr>
          <w:p w14:paraId="5E14429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w:t>
            </w:r>
          </w:p>
        </w:tc>
        <w:tc>
          <w:tcPr>
            <w:tcW w:w="2322" w:type="dxa"/>
            <w:shd w:val="clear" w:color="auto" w:fill="auto"/>
            <w:vAlign w:val="center"/>
          </w:tcPr>
          <w:p w14:paraId="276F963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职业发展与就业指导</w:t>
            </w:r>
          </w:p>
        </w:tc>
        <w:tc>
          <w:tcPr>
            <w:tcW w:w="437" w:type="dxa"/>
            <w:shd w:val="clear" w:color="auto" w:fill="auto"/>
            <w:vAlign w:val="center"/>
          </w:tcPr>
          <w:p w14:paraId="61474A2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3838A3A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2</w:t>
            </w:r>
          </w:p>
        </w:tc>
        <w:tc>
          <w:tcPr>
            <w:tcW w:w="573" w:type="dxa"/>
            <w:shd w:val="clear" w:color="auto" w:fill="auto"/>
            <w:vAlign w:val="center"/>
          </w:tcPr>
          <w:p w14:paraId="782C6B6C">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24</w:t>
            </w:r>
          </w:p>
        </w:tc>
        <w:tc>
          <w:tcPr>
            <w:tcW w:w="509" w:type="dxa"/>
            <w:shd w:val="clear" w:color="auto" w:fill="auto"/>
            <w:vAlign w:val="center"/>
          </w:tcPr>
          <w:p w14:paraId="6DFC66B7">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427" w:type="dxa"/>
            <w:shd w:val="clear" w:color="auto" w:fill="auto"/>
            <w:vAlign w:val="center"/>
          </w:tcPr>
          <w:p w14:paraId="02191ED5">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437" w:type="dxa"/>
            <w:shd w:val="clear" w:color="auto" w:fill="auto"/>
            <w:vAlign w:val="center"/>
          </w:tcPr>
          <w:p w14:paraId="3F26AF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r>
              <w:rPr>
                <w:rFonts w:hint="eastAsia" w:ascii="宋体" w:hAnsi="宋体" w:cs="宋体"/>
                <w:color w:val="000000" w:themeColor="text1"/>
                <w:kern w:val="0"/>
                <w:sz w:val="18"/>
                <w:szCs w:val="18"/>
                <w14:textFill>
                  <w14:solidFill>
                    <w14:schemeClr w14:val="tx1"/>
                  </w14:solidFill>
                </w14:textFill>
              </w:rPr>
              <w:t>2</w:t>
            </w:r>
          </w:p>
        </w:tc>
        <w:tc>
          <w:tcPr>
            <w:tcW w:w="440" w:type="dxa"/>
            <w:shd w:val="clear" w:color="auto" w:fill="auto"/>
            <w:vAlign w:val="center"/>
          </w:tcPr>
          <w:p w14:paraId="2CE8D28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0238BEE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2F9A48C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49C4ADE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67559DF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3B399FA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600" w:type="dxa"/>
            <w:vAlign w:val="center"/>
          </w:tcPr>
          <w:p w14:paraId="4A01EFF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B14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0DF7EED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A8E88F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F8D094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w:t>
            </w:r>
          </w:p>
        </w:tc>
        <w:tc>
          <w:tcPr>
            <w:tcW w:w="901" w:type="dxa"/>
            <w:shd w:val="clear" w:color="auto" w:fill="auto"/>
            <w:vAlign w:val="center"/>
          </w:tcPr>
          <w:p w14:paraId="4FA0E9A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000043G</w:t>
            </w:r>
          </w:p>
        </w:tc>
        <w:tc>
          <w:tcPr>
            <w:tcW w:w="2322" w:type="dxa"/>
            <w:shd w:val="clear" w:color="auto" w:fill="auto"/>
            <w:vAlign w:val="center"/>
          </w:tcPr>
          <w:p w14:paraId="575F20F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创新创业教育</w:t>
            </w:r>
          </w:p>
        </w:tc>
        <w:tc>
          <w:tcPr>
            <w:tcW w:w="437" w:type="dxa"/>
            <w:shd w:val="clear" w:color="auto" w:fill="auto"/>
            <w:vAlign w:val="center"/>
          </w:tcPr>
          <w:p w14:paraId="6C3551D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shd w:val="clear" w:color="auto" w:fill="auto"/>
            <w:vAlign w:val="center"/>
          </w:tcPr>
          <w:p w14:paraId="6663F4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3" w:type="dxa"/>
            <w:shd w:val="clear" w:color="auto" w:fill="auto"/>
            <w:vAlign w:val="center"/>
          </w:tcPr>
          <w:p w14:paraId="67F4267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0436CAF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27" w:type="dxa"/>
            <w:shd w:val="clear" w:color="auto" w:fill="auto"/>
            <w:vAlign w:val="center"/>
          </w:tcPr>
          <w:p w14:paraId="0CF8562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7" w:type="dxa"/>
            <w:shd w:val="clear" w:color="auto" w:fill="auto"/>
            <w:vAlign w:val="center"/>
          </w:tcPr>
          <w:p w14:paraId="69D0DA2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344928F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D06D13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2" w:type="dxa"/>
            <w:shd w:val="clear" w:color="auto" w:fill="auto"/>
            <w:vAlign w:val="center"/>
          </w:tcPr>
          <w:p w14:paraId="4274967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51A09FD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2B1B01E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506CEA5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600" w:type="dxa"/>
            <w:vAlign w:val="center"/>
          </w:tcPr>
          <w:p w14:paraId="7F0DAF5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C45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315CA22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8B0D5F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74B1A4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w:t>
            </w:r>
          </w:p>
        </w:tc>
        <w:tc>
          <w:tcPr>
            <w:tcW w:w="901" w:type="dxa"/>
            <w:shd w:val="clear" w:color="auto" w:fill="auto"/>
            <w:vAlign w:val="center"/>
          </w:tcPr>
          <w:p w14:paraId="6B7D763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w:t>
            </w:r>
          </w:p>
        </w:tc>
        <w:tc>
          <w:tcPr>
            <w:tcW w:w="2322" w:type="dxa"/>
            <w:shd w:val="clear" w:color="auto" w:fill="auto"/>
            <w:vAlign w:val="center"/>
          </w:tcPr>
          <w:p w14:paraId="0B97DED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信息技术</w:t>
            </w:r>
          </w:p>
        </w:tc>
        <w:tc>
          <w:tcPr>
            <w:tcW w:w="437" w:type="dxa"/>
            <w:shd w:val="clear" w:color="auto" w:fill="auto"/>
            <w:vAlign w:val="center"/>
          </w:tcPr>
          <w:p w14:paraId="27FCB89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7F4334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11EEC3E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6D7F8FE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shd w:val="clear" w:color="auto" w:fill="auto"/>
            <w:vAlign w:val="center"/>
          </w:tcPr>
          <w:p w14:paraId="11E8F10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22F6A9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098CFBC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0" w:type="dxa"/>
            <w:shd w:val="clear" w:color="auto" w:fill="auto"/>
            <w:vAlign w:val="center"/>
          </w:tcPr>
          <w:p w14:paraId="0F7F02B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2969BC0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27CB374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116ABDB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7265610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600" w:type="dxa"/>
            <w:vAlign w:val="center"/>
          </w:tcPr>
          <w:p w14:paraId="54FC397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2E3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583D793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7C2D79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15C365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w:t>
            </w:r>
          </w:p>
        </w:tc>
        <w:tc>
          <w:tcPr>
            <w:tcW w:w="901" w:type="dxa"/>
            <w:vAlign w:val="center"/>
          </w:tcPr>
          <w:p w14:paraId="58BA940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010126Z</w:t>
            </w:r>
          </w:p>
        </w:tc>
        <w:tc>
          <w:tcPr>
            <w:tcW w:w="2322" w:type="dxa"/>
            <w:shd w:val="clear" w:color="auto" w:fill="auto"/>
            <w:vAlign w:val="center"/>
          </w:tcPr>
          <w:p w14:paraId="2BF686A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人工智能与应用</w:t>
            </w:r>
          </w:p>
        </w:tc>
        <w:tc>
          <w:tcPr>
            <w:tcW w:w="437" w:type="dxa"/>
            <w:shd w:val="clear" w:color="auto" w:fill="auto"/>
            <w:vAlign w:val="center"/>
          </w:tcPr>
          <w:p w14:paraId="3E4557D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A2A2BC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57A5773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232F068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7" w:type="dxa"/>
            <w:shd w:val="clear" w:color="auto" w:fill="auto"/>
            <w:vAlign w:val="center"/>
          </w:tcPr>
          <w:p w14:paraId="5578A3F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58EBDA0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5BD1EA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0" w:type="dxa"/>
            <w:vAlign w:val="center"/>
          </w:tcPr>
          <w:p w14:paraId="5AB6515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2725C9B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3D60C05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7AD44D0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49EC5CB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⑩</w:t>
            </w:r>
          </w:p>
        </w:tc>
        <w:tc>
          <w:tcPr>
            <w:tcW w:w="600" w:type="dxa"/>
            <w:vAlign w:val="center"/>
          </w:tcPr>
          <w:p w14:paraId="70414FC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575F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3D9F6E0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6F0444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719EC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w:t>
            </w:r>
          </w:p>
        </w:tc>
        <w:tc>
          <w:tcPr>
            <w:tcW w:w="901" w:type="dxa"/>
            <w:vAlign w:val="center"/>
          </w:tcPr>
          <w:p w14:paraId="4F53DCC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000023G</w:t>
            </w:r>
          </w:p>
        </w:tc>
        <w:tc>
          <w:tcPr>
            <w:tcW w:w="2322" w:type="dxa"/>
            <w:vAlign w:val="center"/>
          </w:tcPr>
          <w:p w14:paraId="5C1264D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劳动教育与实践</w:t>
            </w:r>
          </w:p>
        </w:tc>
        <w:tc>
          <w:tcPr>
            <w:tcW w:w="437" w:type="dxa"/>
            <w:vAlign w:val="center"/>
          </w:tcPr>
          <w:p w14:paraId="6B73CDD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vAlign w:val="center"/>
          </w:tcPr>
          <w:p w14:paraId="7C1D7E0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vAlign w:val="center"/>
          </w:tcPr>
          <w:p w14:paraId="53DF9C6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5FE97B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7" w:type="dxa"/>
            <w:vAlign w:val="center"/>
          </w:tcPr>
          <w:p w14:paraId="5D9CDDD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vAlign w:val="center"/>
          </w:tcPr>
          <w:p w14:paraId="65236C9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40" w:type="dxa"/>
            <w:vAlign w:val="center"/>
          </w:tcPr>
          <w:p w14:paraId="0DF1055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50" w:type="dxa"/>
            <w:vAlign w:val="center"/>
          </w:tcPr>
          <w:p w14:paraId="21ADC4F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3B34C8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5E387C3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124B1AE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51FCDA8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⑥⑧</w:t>
            </w:r>
          </w:p>
        </w:tc>
        <w:tc>
          <w:tcPr>
            <w:tcW w:w="600" w:type="dxa"/>
            <w:vAlign w:val="center"/>
          </w:tcPr>
          <w:p w14:paraId="6DDAFA8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A7F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469472C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B10B69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B919A0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15</w:t>
            </w:r>
          </w:p>
        </w:tc>
        <w:tc>
          <w:tcPr>
            <w:tcW w:w="901" w:type="dxa"/>
            <w:vAlign w:val="center"/>
          </w:tcPr>
          <w:p w14:paraId="46918A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rPr>
              <w:t>000033G</w:t>
            </w:r>
          </w:p>
        </w:tc>
        <w:tc>
          <w:tcPr>
            <w:tcW w:w="2322" w:type="dxa"/>
            <w:vAlign w:val="center"/>
          </w:tcPr>
          <w:p w14:paraId="116593C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国家安全教育</w:t>
            </w:r>
          </w:p>
        </w:tc>
        <w:tc>
          <w:tcPr>
            <w:tcW w:w="437" w:type="dxa"/>
            <w:vAlign w:val="center"/>
          </w:tcPr>
          <w:p w14:paraId="781E02F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A</w:t>
            </w:r>
          </w:p>
        </w:tc>
        <w:tc>
          <w:tcPr>
            <w:tcW w:w="490" w:type="dxa"/>
            <w:vAlign w:val="center"/>
          </w:tcPr>
          <w:p w14:paraId="329BB9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73" w:type="dxa"/>
            <w:vAlign w:val="center"/>
          </w:tcPr>
          <w:p w14:paraId="3B97CF3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vAlign w:val="center"/>
          </w:tcPr>
          <w:p w14:paraId="294EB20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27" w:type="dxa"/>
            <w:vAlign w:val="center"/>
          </w:tcPr>
          <w:p w14:paraId="77C793D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437" w:type="dxa"/>
            <w:vAlign w:val="center"/>
          </w:tcPr>
          <w:p w14:paraId="0777A38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40" w:type="dxa"/>
            <w:vAlign w:val="center"/>
          </w:tcPr>
          <w:p w14:paraId="29DFC27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521D3C7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40325D5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398BD1E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718AAE0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43F22EC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olor w:val="000000"/>
                <w:sz w:val="18"/>
                <w:szCs w:val="18"/>
              </w:rPr>
              <w:t>②</w:t>
            </w:r>
          </w:p>
        </w:tc>
        <w:tc>
          <w:tcPr>
            <w:tcW w:w="600" w:type="dxa"/>
            <w:vAlign w:val="center"/>
          </w:tcPr>
          <w:p w14:paraId="748776E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bookmarkEnd w:id="27"/>
      <w:tr w14:paraId="7D16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5350194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29" w:name="OLE_LINK15" w:colFirst="5" w:colLast="12"/>
          </w:p>
        </w:tc>
        <w:tc>
          <w:tcPr>
            <w:tcW w:w="419" w:type="dxa"/>
            <w:vMerge w:val="continue"/>
            <w:vAlign w:val="center"/>
          </w:tcPr>
          <w:p w14:paraId="679B624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34C6E2C9">
            <w:pPr>
              <w:pageBreakBefore w:val="0"/>
              <w:widowControl/>
              <w:kinsoku/>
              <w:wordWrap/>
              <w:overflowPunct/>
              <w:topLinePunct w:val="0"/>
              <w:bidi w:val="0"/>
              <w:spacing w:line="360" w:lineRule="exact"/>
              <w:jc w:val="center"/>
              <w:rPr>
                <w:rFonts w:ascii="宋体" w:hAnsi="宋体" w:cs="宋体"/>
                <w:b/>
                <w:bCs w:val="0"/>
                <w:color w:val="000000" w:themeColor="text1"/>
                <w:kern w:val="0"/>
                <w:sz w:val="18"/>
                <w:szCs w:val="18"/>
                <w14:textFill>
                  <w14:solidFill>
                    <w14:schemeClr w14:val="tx1"/>
                  </w14:solidFill>
                </w14:textFill>
              </w:rPr>
            </w:pPr>
            <w:r>
              <w:rPr>
                <w:rFonts w:hint="eastAsia" w:ascii="宋体" w:hAnsi="宋体" w:cs="宋体"/>
                <w:b/>
                <w:bCs w:val="0"/>
                <w:color w:val="000000" w:themeColor="text1"/>
                <w:kern w:val="0"/>
                <w:sz w:val="18"/>
                <w:szCs w:val="18"/>
                <w14:textFill>
                  <w14:solidFill>
                    <w14:schemeClr w14:val="tx1"/>
                  </w14:solidFill>
                </w14:textFill>
              </w:rPr>
              <w:t>小计</w:t>
            </w:r>
          </w:p>
        </w:tc>
        <w:tc>
          <w:tcPr>
            <w:tcW w:w="2322" w:type="dxa"/>
            <w:vAlign w:val="center"/>
          </w:tcPr>
          <w:p w14:paraId="02EB2EAB">
            <w:pPr>
              <w:pageBreakBefore w:val="0"/>
              <w:widowControl/>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r>
              <w:rPr>
                <w:rFonts w:hint="eastAsia" w:ascii="宋体" w:hAnsi="宋体" w:cs="宋体"/>
                <w:b/>
                <w:bCs w:val="0"/>
                <w:color w:val="000000" w:themeColor="text1"/>
                <w:kern w:val="0"/>
                <w:sz w:val="18"/>
                <w:szCs w:val="18"/>
                <w:lang w:val="en-US" w:eastAsia="zh-CN"/>
                <w14:textFill>
                  <w14:solidFill>
                    <w14:schemeClr w14:val="tx1"/>
                  </w14:solidFill>
                </w14:textFill>
              </w:rPr>
              <w:t>共15门</w:t>
            </w:r>
          </w:p>
        </w:tc>
        <w:tc>
          <w:tcPr>
            <w:tcW w:w="437" w:type="dxa"/>
            <w:vAlign w:val="center"/>
          </w:tcPr>
          <w:p w14:paraId="054527B4">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p>
        </w:tc>
        <w:tc>
          <w:tcPr>
            <w:tcW w:w="490" w:type="dxa"/>
            <w:vAlign w:val="center"/>
          </w:tcPr>
          <w:p w14:paraId="2566F167">
            <w:pPr>
              <w:pageBreakBefore w:val="0"/>
              <w:kinsoku/>
              <w:wordWrap/>
              <w:overflowPunct/>
              <w:topLinePunct w:val="0"/>
              <w:bidi w:val="0"/>
              <w:spacing w:line="360" w:lineRule="exact"/>
              <w:jc w:val="center"/>
              <w:rPr>
                <w:rFonts w:hint="default"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7</w:t>
            </w:r>
            <w:r>
              <w:rPr>
                <w:rFonts w:hint="eastAsia" w:ascii="宋体" w:hAnsi="宋体" w:cs="宋体"/>
                <w:b/>
                <w:bCs w:val="0"/>
                <w:color w:val="000000" w:themeColor="text1"/>
                <w:sz w:val="18"/>
                <w:szCs w:val="18"/>
                <w:lang w:val="en-US" w:eastAsia="zh-CN"/>
                <w14:textFill>
                  <w14:solidFill>
                    <w14:schemeClr w14:val="tx1"/>
                  </w14:solidFill>
                </w14:textFill>
              </w:rPr>
              <w:t>68</w:t>
            </w:r>
          </w:p>
        </w:tc>
        <w:tc>
          <w:tcPr>
            <w:tcW w:w="573" w:type="dxa"/>
            <w:vAlign w:val="center"/>
          </w:tcPr>
          <w:p w14:paraId="021C28DB">
            <w:pPr>
              <w:pageBreakBefore w:val="0"/>
              <w:kinsoku/>
              <w:wordWrap/>
              <w:overflowPunct/>
              <w:topLinePunct w:val="0"/>
              <w:bidi w:val="0"/>
              <w:spacing w:line="360" w:lineRule="exact"/>
              <w:jc w:val="center"/>
              <w:rPr>
                <w:rFonts w:hint="default"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4</w:t>
            </w:r>
            <w:r>
              <w:rPr>
                <w:rFonts w:hint="eastAsia" w:ascii="宋体" w:hAnsi="宋体" w:cs="宋体"/>
                <w:b/>
                <w:bCs w:val="0"/>
                <w:color w:val="000000" w:themeColor="text1"/>
                <w:sz w:val="18"/>
                <w:szCs w:val="18"/>
                <w:lang w:val="en-US" w:eastAsia="zh-CN"/>
                <w14:textFill>
                  <w14:solidFill>
                    <w14:schemeClr w14:val="tx1"/>
                  </w14:solidFill>
                </w14:textFill>
              </w:rPr>
              <w:t>42</w:t>
            </w:r>
          </w:p>
        </w:tc>
        <w:tc>
          <w:tcPr>
            <w:tcW w:w="509" w:type="dxa"/>
            <w:vAlign w:val="center"/>
          </w:tcPr>
          <w:p w14:paraId="2C2790BB">
            <w:pPr>
              <w:pageBreakBefore w:val="0"/>
              <w:kinsoku/>
              <w:wordWrap/>
              <w:overflowPunct/>
              <w:topLinePunct w:val="0"/>
              <w:bidi w:val="0"/>
              <w:spacing w:line="360" w:lineRule="exact"/>
              <w:jc w:val="center"/>
              <w:rPr>
                <w:rFonts w:hint="default"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3</w:t>
            </w:r>
            <w:r>
              <w:rPr>
                <w:rFonts w:hint="eastAsia" w:ascii="宋体" w:hAnsi="宋体" w:cs="宋体"/>
                <w:b/>
                <w:bCs w:val="0"/>
                <w:color w:val="000000" w:themeColor="text1"/>
                <w:sz w:val="18"/>
                <w:szCs w:val="18"/>
                <w:lang w:val="en-US" w:eastAsia="zh-CN"/>
                <w14:textFill>
                  <w14:solidFill>
                    <w14:schemeClr w14:val="tx1"/>
                  </w14:solidFill>
                </w14:textFill>
              </w:rPr>
              <w:t>26</w:t>
            </w:r>
          </w:p>
        </w:tc>
        <w:tc>
          <w:tcPr>
            <w:tcW w:w="427" w:type="dxa"/>
            <w:vAlign w:val="center"/>
          </w:tcPr>
          <w:p w14:paraId="7FA027B7">
            <w:pPr>
              <w:pageBreakBefore w:val="0"/>
              <w:kinsoku/>
              <w:wordWrap/>
              <w:overflowPunct/>
              <w:topLinePunct w:val="0"/>
              <w:bidi w:val="0"/>
              <w:spacing w:line="360" w:lineRule="exact"/>
              <w:jc w:val="center"/>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4</w:t>
            </w:r>
            <w:r>
              <w:rPr>
                <w:rFonts w:hint="eastAsia" w:ascii="宋体" w:hAnsi="宋体" w:cs="宋体"/>
                <w:b/>
                <w:bCs w:val="0"/>
                <w:color w:val="000000" w:themeColor="text1"/>
                <w:sz w:val="18"/>
                <w:szCs w:val="18"/>
                <w:lang w:val="en-US" w:eastAsia="zh-CN"/>
                <w14:textFill>
                  <w14:solidFill>
                    <w14:schemeClr w14:val="tx1"/>
                  </w14:solidFill>
                </w14:textFill>
              </w:rPr>
              <w:t>2</w:t>
            </w:r>
          </w:p>
        </w:tc>
        <w:tc>
          <w:tcPr>
            <w:tcW w:w="437" w:type="dxa"/>
            <w:vAlign w:val="center"/>
          </w:tcPr>
          <w:p w14:paraId="43605A09">
            <w:pPr>
              <w:pageBreakBefore w:val="0"/>
              <w:kinsoku/>
              <w:wordWrap/>
              <w:overflowPunct/>
              <w:topLinePunct w:val="0"/>
              <w:bidi w:val="0"/>
              <w:spacing w:line="360" w:lineRule="exact"/>
              <w:jc w:val="center"/>
              <w:rPr>
                <w:rFonts w:hint="default"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3</w:t>
            </w:r>
            <w:r>
              <w:rPr>
                <w:rFonts w:hint="eastAsia" w:ascii="宋体" w:hAnsi="宋体" w:cs="宋体"/>
                <w:b/>
                <w:bCs w:val="0"/>
                <w:color w:val="000000" w:themeColor="text1"/>
                <w:sz w:val="18"/>
                <w:szCs w:val="18"/>
                <w:lang w:val="en-US" w:eastAsia="zh-CN"/>
                <w14:textFill>
                  <w14:solidFill>
                    <w14:schemeClr w14:val="tx1"/>
                  </w14:solidFill>
                </w14:textFill>
              </w:rPr>
              <w:t>68</w:t>
            </w:r>
          </w:p>
        </w:tc>
        <w:tc>
          <w:tcPr>
            <w:tcW w:w="440" w:type="dxa"/>
            <w:vAlign w:val="center"/>
          </w:tcPr>
          <w:p w14:paraId="46B8C20E">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284</w:t>
            </w:r>
          </w:p>
        </w:tc>
        <w:tc>
          <w:tcPr>
            <w:tcW w:w="450" w:type="dxa"/>
            <w:vAlign w:val="center"/>
          </w:tcPr>
          <w:p w14:paraId="11C9FDC4">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108</w:t>
            </w:r>
          </w:p>
        </w:tc>
        <w:tc>
          <w:tcPr>
            <w:tcW w:w="452" w:type="dxa"/>
            <w:vAlign w:val="center"/>
          </w:tcPr>
          <w:p w14:paraId="0EC78FA2">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r>
              <w:rPr>
                <w:rFonts w:hint="eastAsia" w:ascii="宋体" w:hAnsi="宋体" w:cs="宋体"/>
                <w:b/>
                <w:bCs w:val="0"/>
                <w:color w:val="000000" w:themeColor="text1"/>
                <w:sz w:val="18"/>
                <w:szCs w:val="18"/>
                <w14:textFill>
                  <w14:solidFill>
                    <w14:schemeClr w14:val="tx1"/>
                  </w14:solidFill>
                </w14:textFill>
              </w:rPr>
              <w:t>8</w:t>
            </w:r>
          </w:p>
        </w:tc>
        <w:tc>
          <w:tcPr>
            <w:tcW w:w="462" w:type="dxa"/>
            <w:vAlign w:val="center"/>
          </w:tcPr>
          <w:p w14:paraId="1D3B794E">
            <w:pPr>
              <w:pageBreakBefore w:val="0"/>
              <w:kinsoku/>
              <w:wordWrap/>
              <w:overflowPunct/>
              <w:topLinePunct w:val="0"/>
              <w:bidi w:val="0"/>
              <w:spacing w:line="360" w:lineRule="exact"/>
              <w:jc w:val="center"/>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lang w:val="en-US" w:eastAsia="zh-CN"/>
                <w14:textFill>
                  <w14:solidFill>
                    <w14:schemeClr w14:val="tx1"/>
                  </w14:solidFill>
                </w14:textFill>
              </w:rPr>
              <w:t>0</w:t>
            </w:r>
          </w:p>
        </w:tc>
        <w:tc>
          <w:tcPr>
            <w:tcW w:w="450" w:type="dxa"/>
            <w:vAlign w:val="center"/>
          </w:tcPr>
          <w:p w14:paraId="651BF11C">
            <w:pPr>
              <w:pageBreakBefore w:val="0"/>
              <w:kinsoku/>
              <w:wordWrap/>
              <w:overflowPunct/>
              <w:topLinePunct w:val="0"/>
              <w:bidi w:val="0"/>
              <w:spacing w:line="360" w:lineRule="exact"/>
              <w:jc w:val="center"/>
              <w:rPr>
                <w:rFonts w:hint="eastAsia" w:ascii="宋体" w:hAnsi="宋体" w:eastAsia="宋体" w:cs="宋体"/>
                <w:b/>
                <w:bCs w:val="0"/>
                <w:color w:val="000000" w:themeColor="text1"/>
                <w:sz w:val="18"/>
                <w:szCs w:val="18"/>
                <w:lang w:val="en-US" w:eastAsia="zh-CN"/>
                <w14:textFill>
                  <w14:solidFill>
                    <w14:schemeClr w14:val="tx1"/>
                  </w14:solidFill>
                </w14:textFill>
              </w:rPr>
            </w:pPr>
            <w:r>
              <w:rPr>
                <w:rFonts w:hint="eastAsia" w:ascii="宋体" w:hAnsi="宋体" w:cs="宋体"/>
                <w:b/>
                <w:bCs w:val="0"/>
                <w:color w:val="000000" w:themeColor="text1"/>
                <w:sz w:val="18"/>
                <w:szCs w:val="18"/>
                <w:lang w:val="en-US" w:eastAsia="zh-CN"/>
                <w14:textFill>
                  <w14:solidFill>
                    <w14:schemeClr w14:val="tx1"/>
                  </w14:solidFill>
                </w14:textFill>
              </w:rPr>
              <w:t>0</w:t>
            </w:r>
          </w:p>
        </w:tc>
        <w:tc>
          <w:tcPr>
            <w:tcW w:w="474" w:type="dxa"/>
            <w:vAlign w:val="center"/>
          </w:tcPr>
          <w:p w14:paraId="29661D87">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p>
        </w:tc>
        <w:tc>
          <w:tcPr>
            <w:tcW w:w="600" w:type="dxa"/>
            <w:vAlign w:val="center"/>
          </w:tcPr>
          <w:p w14:paraId="05842B1A">
            <w:pPr>
              <w:pageBreakBefore w:val="0"/>
              <w:kinsoku/>
              <w:wordWrap/>
              <w:overflowPunct/>
              <w:topLinePunct w:val="0"/>
              <w:bidi w:val="0"/>
              <w:spacing w:line="360" w:lineRule="exact"/>
              <w:jc w:val="center"/>
              <w:rPr>
                <w:rFonts w:ascii="宋体" w:hAnsi="宋体" w:cs="宋体"/>
                <w:b/>
                <w:bCs w:val="0"/>
                <w:color w:val="000000" w:themeColor="text1"/>
                <w:sz w:val="18"/>
                <w:szCs w:val="18"/>
                <w14:textFill>
                  <w14:solidFill>
                    <w14:schemeClr w14:val="tx1"/>
                  </w14:solidFill>
                </w14:textFill>
              </w:rPr>
            </w:pPr>
          </w:p>
        </w:tc>
      </w:tr>
      <w:bookmarkEnd w:id="29"/>
      <w:tr w14:paraId="72FB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50" w:type="dxa"/>
            <w:vMerge w:val="continue"/>
            <w:vAlign w:val="center"/>
          </w:tcPr>
          <w:p w14:paraId="6BD3654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221AE48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选修</w:t>
            </w:r>
            <w:r>
              <w:rPr>
                <w:rFonts w:hint="eastAsia" w:ascii="宋体" w:hAnsi="宋体" w:cs="宋体"/>
                <w:color w:val="000000" w:themeColor="text1"/>
                <w:kern w:val="0"/>
                <w:sz w:val="18"/>
                <w:szCs w:val="18"/>
                <w14:textFill>
                  <w14:solidFill>
                    <w14:schemeClr w14:val="tx1"/>
                  </w14:solidFill>
                </w14:textFill>
              </w:rPr>
              <w:t>课</w:t>
            </w:r>
          </w:p>
        </w:tc>
        <w:tc>
          <w:tcPr>
            <w:tcW w:w="396" w:type="dxa"/>
            <w:vMerge w:val="restart"/>
            <w:vAlign w:val="center"/>
          </w:tcPr>
          <w:p w14:paraId="27FC2C68">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限选课</w:t>
            </w:r>
          </w:p>
        </w:tc>
        <w:tc>
          <w:tcPr>
            <w:tcW w:w="901" w:type="dxa"/>
            <w:vAlign w:val="center"/>
          </w:tcPr>
          <w:p w14:paraId="3B473A6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322" w:type="dxa"/>
            <w:vMerge w:val="restart"/>
            <w:shd w:val="clear" w:color="auto" w:fill="auto"/>
            <w:vAlign w:val="center"/>
          </w:tcPr>
          <w:p w14:paraId="7866D730">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sz w:val="18"/>
                <w:szCs w:val="18"/>
                <w:lang w:val="en-US" w:eastAsia="zh-CN"/>
              </w:rPr>
              <w:t>公共选修课清单表中艺术类课程8门课程限选2门，具体开设学期及课程以实际执行为准</w:t>
            </w:r>
          </w:p>
        </w:tc>
        <w:tc>
          <w:tcPr>
            <w:tcW w:w="437" w:type="dxa"/>
            <w:shd w:val="clear" w:color="auto" w:fill="auto"/>
            <w:vAlign w:val="center"/>
          </w:tcPr>
          <w:p w14:paraId="0C9717B6">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3728BF4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6BE4855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4AC6046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7" w:type="dxa"/>
            <w:shd w:val="clear" w:color="auto" w:fill="auto"/>
            <w:vAlign w:val="center"/>
          </w:tcPr>
          <w:p w14:paraId="62EC9FA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63B9249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40" w:type="dxa"/>
            <w:shd w:val="clear" w:color="auto" w:fill="auto"/>
            <w:vAlign w:val="center"/>
          </w:tcPr>
          <w:p w14:paraId="03677C1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F49203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5C1A90E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59321E7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1C3236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272F0536">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600" w:type="dxa"/>
            <w:vAlign w:val="center"/>
          </w:tcPr>
          <w:p w14:paraId="77A9DDEA">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1A48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50" w:type="dxa"/>
            <w:vMerge w:val="continue"/>
            <w:vAlign w:val="center"/>
          </w:tcPr>
          <w:p w14:paraId="0A50ED6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4CCB63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12BF6B4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901" w:type="dxa"/>
            <w:vAlign w:val="center"/>
          </w:tcPr>
          <w:p w14:paraId="254166E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322" w:type="dxa"/>
            <w:vMerge w:val="continue"/>
            <w:vAlign w:val="center"/>
          </w:tcPr>
          <w:p w14:paraId="0051B2C2">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437" w:type="dxa"/>
            <w:vAlign w:val="center"/>
          </w:tcPr>
          <w:p w14:paraId="1D3895FA">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35AEF8C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055B879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2B63ABF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7" w:type="dxa"/>
            <w:shd w:val="clear" w:color="auto" w:fill="auto"/>
            <w:vAlign w:val="center"/>
          </w:tcPr>
          <w:p w14:paraId="3AF0996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387434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2AE496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0" w:type="dxa"/>
            <w:shd w:val="clear" w:color="auto" w:fill="auto"/>
            <w:vAlign w:val="center"/>
          </w:tcPr>
          <w:p w14:paraId="6747724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7F8E90E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2E39D2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4240B7A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313095E9">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600" w:type="dxa"/>
            <w:vAlign w:val="center"/>
          </w:tcPr>
          <w:p w14:paraId="201AF00C">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08F1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7857E9C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FFC9FF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restart"/>
            <w:vAlign w:val="center"/>
          </w:tcPr>
          <w:p w14:paraId="7ECEE76E">
            <w:pPr>
              <w:pageBreakBefore w:val="0"/>
              <w:widowControl/>
              <w:kinsoku/>
              <w:wordWrap/>
              <w:overflowPunct/>
              <w:topLinePunct w:val="0"/>
              <w:bidi w:val="0"/>
              <w:spacing w:line="360" w:lineRule="exact"/>
              <w:jc w:val="center"/>
              <w:rPr>
                <w:rFonts w:hint="eastAsia"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color w:val="000000" w:themeColor="text1"/>
                <w:sz w:val="18"/>
                <w:szCs w:val="18"/>
                <w:lang w:val="en-US" w:eastAsia="zh-CN"/>
                <w14:textFill>
                  <w14:solidFill>
                    <w14:schemeClr w14:val="tx1"/>
                  </w14:solidFill>
                </w14:textFill>
              </w:rPr>
              <w:t>任选课</w:t>
            </w:r>
          </w:p>
        </w:tc>
        <w:tc>
          <w:tcPr>
            <w:tcW w:w="901" w:type="dxa"/>
            <w:vAlign w:val="center"/>
          </w:tcPr>
          <w:p w14:paraId="0A96AAA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322" w:type="dxa"/>
            <w:vMerge w:val="restart"/>
            <w:vAlign w:val="center"/>
          </w:tcPr>
          <w:p w14:paraId="74945959">
            <w:pPr>
              <w:pageBreakBefore w:val="0"/>
              <w:widowControl/>
              <w:kinsoku/>
              <w:wordWrap/>
              <w:overflowPunct/>
              <w:topLinePunct w:val="0"/>
              <w:bidi w:val="0"/>
              <w:spacing w:line="360" w:lineRule="exact"/>
              <w:jc w:val="center"/>
              <w:rPr>
                <w:rFonts w:hint="default" w:ascii="宋体" w:hAnsi="宋体" w:eastAsia="宋体" w:cs="宋体"/>
                <w:bCs/>
                <w:color w:val="000000" w:themeColor="text1"/>
                <w:sz w:val="18"/>
                <w:szCs w:val="18"/>
                <w:lang w:val="en-US" w:eastAsia="zh-CN"/>
                <w14:textFill>
                  <w14:solidFill>
                    <w14:schemeClr w14:val="tx1"/>
                  </w14:solidFill>
                </w14:textFill>
              </w:rPr>
            </w:pPr>
            <w:r>
              <w:rPr>
                <w:rFonts w:hint="eastAsia" w:ascii="宋体" w:hAnsi="宋体" w:cs="宋体"/>
                <w:bCs/>
                <w:sz w:val="18"/>
                <w:szCs w:val="18"/>
                <w:lang w:val="en-US" w:eastAsia="zh-CN"/>
              </w:rPr>
              <w:t>公共选修课清单表中的课程任选2门</w:t>
            </w:r>
          </w:p>
        </w:tc>
        <w:tc>
          <w:tcPr>
            <w:tcW w:w="437" w:type="dxa"/>
            <w:vAlign w:val="center"/>
          </w:tcPr>
          <w:p w14:paraId="390E5931">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C8871A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0509C32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51B2041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7" w:type="dxa"/>
            <w:shd w:val="clear" w:color="auto" w:fill="auto"/>
            <w:vAlign w:val="center"/>
          </w:tcPr>
          <w:p w14:paraId="5EB7B4A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7D58BF3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4993E4A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EEBB5A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2" w:type="dxa"/>
            <w:shd w:val="clear" w:color="auto" w:fill="auto"/>
            <w:vAlign w:val="center"/>
          </w:tcPr>
          <w:p w14:paraId="13CD1F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092EF07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DA620B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555DCBAB">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600" w:type="dxa"/>
            <w:vAlign w:val="center"/>
          </w:tcPr>
          <w:p w14:paraId="08F67F1A">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30AF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50" w:type="dxa"/>
            <w:vMerge w:val="continue"/>
            <w:vAlign w:val="center"/>
          </w:tcPr>
          <w:p w14:paraId="44C636E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273A05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Merge w:val="continue"/>
            <w:vAlign w:val="center"/>
          </w:tcPr>
          <w:p w14:paraId="55B67C11">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c>
          <w:tcPr>
            <w:tcW w:w="901" w:type="dxa"/>
            <w:vAlign w:val="center"/>
          </w:tcPr>
          <w:p w14:paraId="142B4515">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kern w:val="0"/>
                <w:sz w:val="18"/>
                <w:szCs w:val="18"/>
                <w:lang w:val="en-US" w:eastAsia="zh-CN"/>
              </w:rPr>
              <w:t>/</w:t>
            </w:r>
          </w:p>
        </w:tc>
        <w:tc>
          <w:tcPr>
            <w:tcW w:w="2322" w:type="dxa"/>
            <w:vMerge w:val="continue"/>
            <w:vAlign w:val="center"/>
          </w:tcPr>
          <w:p w14:paraId="4BA8CA47">
            <w:pPr>
              <w:pageBreakBefore w:val="0"/>
              <w:widowControl/>
              <w:kinsoku/>
              <w:wordWrap/>
              <w:overflowPunct/>
              <w:topLinePunct w:val="0"/>
              <w:bidi w:val="0"/>
              <w:spacing w:line="360" w:lineRule="exact"/>
              <w:jc w:val="center"/>
              <w:textAlignment w:val="center"/>
              <w:rPr>
                <w:rFonts w:hint="default" w:ascii="宋体" w:hAnsi="宋体" w:eastAsia="宋体" w:cs="宋体"/>
                <w:bCs/>
                <w:color w:val="000000" w:themeColor="text1"/>
                <w:sz w:val="18"/>
                <w:szCs w:val="18"/>
                <w:lang w:val="en-US" w:eastAsia="zh-CN"/>
                <w14:textFill>
                  <w14:solidFill>
                    <w14:schemeClr w14:val="tx1"/>
                  </w14:solidFill>
                </w14:textFill>
              </w:rPr>
            </w:pPr>
          </w:p>
        </w:tc>
        <w:tc>
          <w:tcPr>
            <w:tcW w:w="437" w:type="dxa"/>
            <w:vAlign w:val="center"/>
          </w:tcPr>
          <w:p w14:paraId="5C7A5DDA">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27B04AB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131BBBB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61CF8EF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7" w:type="dxa"/>
            <w:shd w:val="clear" w:color="auto" w:fill="auto"/>
            <w:vAlign w:val="center"/>
          </w:tcPr>
          <w:p w14:paraId="0630D96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0854B01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570AC3D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E3B285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2E31401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62" w:type="dxa"/>
            <w:shd w:val="clear" w:color="auto" w:fill="auto"/>
            <w:vAlign w:val="center"/>
          </w:tcPr>
          <w:p w14:paraId="3E2D89F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03B2354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vAlign w:val="center"/>
          </w:tcPr>
          <w:p w14:paraId="48544233">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olor w:val="000000"/>
                <w:sz w:val="18"/>
                <w:szCs w:val="18"/>
              </w:rPr>
              <w:t>③⑤</w:t>
            </w:r>
          </w:p>
        </w:tc>
        <w:tc>
          <w:tcPr>
            <w:tcW w:w="600" w:type="dxa"/>
            <w:vAlign w:val="center"/>
          </w:tcPr>
          <w:p w14:paraId="7822A891">
            <w:pPr>
              <w:pageBreakBefore w:val="0"/>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p>
        </w:tc>
      </w:tr>
      <w:tr w14:paraId="508D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A041F0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30" w:name="OLE_LINK16" w:colFirst="5" w:colLast="12"/>
          </w:p>
        </w:tc>
        <w:tc>
          <w:tcPr>
            <w:tcW w:w="419" w:type="dxa"/>
            <w:vMerge w:val="continue"/>
            <w:vAlign w:val="center"/>
          </w:tcPr>
          <w:p w14:paraId="6093417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3C916BBD">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小计</w:t>
            </w:r>
          </w:p>
        </w:tc>
        <w:tc>
          <w:tcPr>
            <w:tcW w:w="2322" w:type="dxa"/>
            <w:vAlign w:val="center"/>
          </w:tcPr>
          <w:p w14:paraId="143BE8B6">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共4门</w:t>
            </w:r>
          </w:p>
        </w:tc>
        <w:tc>
          <w:tcPr>
            <w:tcW w:w="437" w:type="dxa"/>
            <w:vAlign w:val="center"/>
          </w:tcPr>
          <w:p w14:paraId="15DD071F">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shd w:val="clear" w:color="auto" w:fill="auto"/>
            <w:vAlign w:val="center"/>
          </w:tcPr>
          <w:p w14:paraId="2CC961FF">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128</w:t>
            </w:r>
          </w:p>
        </w:tc>
        <w:tc>
          <w:tcPr>
            <w:tcW w:w="573" w:type="dxa"/>
            <w:shd w:val="clear" w:color="auto" w:fill="auto"/>
            <w:vAlign w:val="center"/>
          </w:tcPr>
          <w:p w14:paraId="14550F1D">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64</w:t>
            </w:r>
          </w:p>
        </w:tc>
        <w:tc>
          <w:tcPr>
            <w:tcW w:w="509" w:type="dxa"/>
            <w:shd w:val="clear" w:color="auto" w:fill="auto"/>
            <w:vAlign w:val="center"/>
          </w:tcPr>
          <w:p w14:paraId="3C221951">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64</w:t>
            </w:r>
          </w:p>
        </w:tc>
        <w:tc>
          <w:tcPr>
            <w:tcW w:w="427" w:type="dxa"/>
            <w:shd w:val="clear" w:color="auto" w:fill="auto"/>
            <w:vAlign w:val="center"/>
          </w:tcPr>
          <w:p w14:paraId="6646396A">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8</w:t>
            </w:r>
          </w:p>
        </w:tc>
        <w:tc>
          <w:tcPr>
            <w:tcW w:w="437" w:type="dxa"/>
            <w:shd w:val="clear" w:color="auto" w:fill="auto"/>
            <w:vAlign w:val="center"/>
          </w:tcPr>
          <w:p w14:paraId="27DF79A3">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32</w:t>
            </w:r>
          </w:p>
        </w:tc>
        <w:tc>
          <w:tcPr>
            <w:tcW w:w="440" w:type="dxa"/>
            <w:shd w:val="clear" w:color="auto" w:fill="auto"/>
            <w:vAlign w:val="center"/>
          </w:tcPr>
          <w:p w14:paraId="356169A5">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32</w:t>
            </w:r>
          </w:p>
        </w:tc>
        <w:tc>
          <w:tcPr>
            <w:tcW w:w="450" w:type="dxa"/>
            <w:shd w:val="clear" w:color="auto" w:fill="auto"/>
            <w:vAlign w:val="center"/>
          </w:tcPr>
          <w:p w14:paraId="257C5D47">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32</w:t>
            </w:r>
          </w:p>
        </w:tc>
        <w:tc>
          <w:tcPr>
            <w:tcW w:w="452" w:type="dxa"/>
            <w:shd w:val="clear" w:color="auto" w:fill="auto"/>
            <w:vAlign w:val="center"/>
          </w:tcPr>
          <w:p w14:paraId="29B17454">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32</w:t>
            </w:r>
          </w:p>
        </w:tc>
        <w:tc>
          <w:tcPr>
            <w:tcW w:w="462" w:type="dxa"/>
            <w:shd w:val="clear" w:color="auto" w:fill="auto"/>
            <w:vAlign w:val="center"/>
          </w:tcPr>
          <w:p w14:paraId="0EE31F80">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50" w:type="dxa"/>
            <w:shd w:val="clear" w:color="auto" w:fill="auto"/>
            <w:vAlign w:val="center"/>
          </w:tcPr>
          <w:p w14:paraId="5F23EBD0">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74" w:type="dxa"/>
            <w:shd w:val="clear" w:color="auto" w:fill="auto"/>
            <w:vAlign w:val="center"/>
          </w:tcPr>
          <w:p w14:paraId="6BC4DF88">
            <w:pPr>
              <w:pageBreakBefore w:val="0"/>
              <w:widowControl/>
              <w:kinsoku/>
              <w:wordWrap/>
              <w:overflowPunct/>
              <w:topLinePunct w:val="0"/>
              <w:bidi w:val="0"/>
              <w:spacing w:line="360" w:lineRule="exact"/>
              <w:jc w:val="center"/>
              <w:textAlignment w:val="center"/>
              <w:rPr>
                <w:rFonts w:ascii="宋体" w:hAnsi="宋体" w:cs="宋体"/>
                <w:b/>
                <w:bCs/>
                <w:color w:val="0000FF"/>
                <w:kern w:val="0"/>
                <w:sz w:val="13"/>
                <w:szCs w:val="13"/>
              </w:rPr>
            </w:pPr>
          </w:p>
        </w:tc>
        <w:tc>
          <w:tcPr>
            <w:tcW w:w="600" w:type="dxa"/>
            <w:vAlign w:val="center"/>
          </w:tcPr>
          <w:p w14:paraId="2F758AC0">
            <w:pPr>
              <w:pageBreakBefore w:val="0"/>
              <w:widowControl/>
              <w:kinsoku/>
              <w:wordWrap/>
              <w:overflowPunct/>
              <w:topLinePunct w:val="0"/>
              <w:bidi w:val="0"/>
              <w:spacing w:line="360" w:lineRule="exact"/>
              <w:jc w:val="center"/>
              <w:rPr>
                <w:rFonts w:ascii="宋体" w:hAnsi="宋体" w:cs="宋体"/>
                <w:bCs/>
                <w:color w:val="000000" w:themeColor="text1"/>
                <w:kern w:val="0"/>
                <w:sz w:val="18"/>
                <w:szCs w:val="18"/>
                <w14:textFill>
                  <w14:solidFill>
                    <w14:schemeClr w14:val="tx1"/>
                  </w14:solidFill>
                </w14:textFill>
              </w:rPr>
            </w:pPr>
          </w:p>
        </w:tc>
      </w:tr>
      <w:bookmarkEnd w:id="30"/>
      <w:tr w14:paraId="5E29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5F0A651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bookmarkStart w:id="31" w:name="OLE_LINK14" w:colFirst="6" w:colLast="13"/>
            <w:r>
              <w:rPr>
                <w:rFonts w:hint="eastAsia" w:ascii="宋体" w:hAnsi="宋体" w:cs="宋体"/>
                <w:color w:val="000000" w:themeColor="text1"/>
                <w:kern w:val="0"/>
                <w:sz w:val="18"/>
                <w:szCs w:val="18"/>
                <w14:textFill>
                  <w14:solidFill>
                    <w14:schemeClr w14:val="tx1"/>
                  </w14:solidFill>
                </w14:textFill>
              </w:rPr>
              <w:t>专业技能课</w:t>
            </w:r>
          </w:p>
        </w:tc>
        <w:tc>
          <w:tcPr>
            <w:tcW w:w="419" w:type="dxa"/>
            <w:vMerge w:val="restart"/>
            <w:vAlign w:val="center"/>
          </w:tcPr>
          <w:p w14:paraId="658E9F4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专业基础课</w:t>
            </w:r>
          </w:p>
        </w:tc>
        <w:tc>
          <w:tcPr>
            <w:tcW w:w="396" w:type="dxa"/>
            <w:vAlign w:val="center"/>
          </w:tcPr>
          <w:p w14:paraId="3AC2310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shd w:val="clear" w:color="auto" w:fill="auto"/>
            <w:vAlign w:val="center"/>
          </w:tcPr>
          <w:p w14:paraId="7C088E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080301Z</w:t>
            </w:r>
          </w:p>
        </w:tc>
        <w:tc>
          <w:tcPr>
            <w:tcW w:w="2322" w:type="dxa"/>
            <w:shd w:val="clear" w:color="auto" w:fill="auto"/>
            <w:vAlign w:val="center"/>
          </w:tcPr>
          <w:p w14:paraId="21120A8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学前教育概论</w:t>
            </w:r>
          </w:p>
        </w:tc>
        <w:tc>
          <w:tcPr>
            <w:tcW w:w="437" w:type="dxa"/>
            <w:shd w:val="clear" w:color="auto" w:fill="auto"/>
            <w:vAlign w:val="center"/>
          </w:tcPr>
          <w:p w14:paraId="0A72D6C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14FF1BE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149D8A4F">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24</w:t>
            </w:r>
          </w:p>
        </w:tc>
        <w:tc>
          <w:tcPr>
            <w:tcW w:w="509" w:type="dxa"/>
            <w:shd w:val="clear" w:color="auto" w:fill="auto"/>
            <w:vAlign w:val="center"/>
          </w:tcPr>
          <w:p w14:paraId="71D9D36B">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8</w:t>
            </w:r>
          </w:p>
        </w:tc>
        <w:tc>
          <w:tcPr>
            <w:tcW w:w="427" w:type="dxa"/>
            <w:shd w:val="clear" w:color="auto" w:fill="auto"/>
            <w:vAlign w:val="center"/>
          </w:tcPr>
          <w:p w14:paraId="7D4D5C5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68B4FD21">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440" w:type="dxa"/>
            <w:shd w:val="clear" w:color="auto" w:fill="auto"/>
            <w:vAlign w:val="center"/>
          </w:tcPr>
          <w:p w14:paraId="5EE282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44685FE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D08D06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37E93CF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7E96C8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4AA8B51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600" w:type="dxa"/>
            <w:vAlign w:val="center"/>
          </w:tcPr>
          <w:p w14:paraId="2CA3FEE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292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899709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15841A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F1CFC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7B9FD0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080302Z</w:t>
            </w:r>
          </w:p>
        </w:tc>
        <w:tc>
          <w:tcPr>
            <w:tcW w:w="2322" w:type="dxa"/>
            <w:shd w:val="clear" w:color="auto" w:fill="auto"/>
            <w:vAlign w:val="center"/>
          </w:tcPr>
          <w:p w14:paraId="3873505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学前儿童心理发展</w:t>
            </w:r>
          </w:p>
        </w:tc>
        <w:tc>
          <w:tcPr>
            <w:tcW w:w="437" w:type="dxa"/>
            <w:shd w:val="clear" w:color="auto" w:fill="auto"/>
            <w:vAlign w:val="center"/>
          </w:tcPr>
          <w:p w14:paraId="675801E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0DE7B0F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0BC60EC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24</w:t>
            </w:r>
          </w:p>
        </w:tc>
        <w:tc>
          <w:tcPr>
            <w:tcW w:w="509" w:type="dxa"/>
            <w:shd w:val="clear" w:color="auto" w:fill="auto"/>
            <w:vAlign w:val="center"/>
          </w:tcPr>
          <w:p w14:paraId="001546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27" w:type="dxa"/>
            <w:shd w:val="clear" w:color="auto" w:fill="auto"/>
            <w:vAlign w:val="center"/>
          </w:tcPr>
          <w:p w14:paraId="5670AAE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409782F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0D51093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0" w:type="dxa"/>
            <w:shd w:val="clear" w:color="auto" w:fill="auto"/>
            <w:vAlign w:val="center"/>
          </w:tcPr>
          <w:p w14:paraId="43FBB8A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14ADA25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2460EAE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3881BE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3E6AA14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600" w:type="dxa"/>
            <w:vAlign w:val="center"/>
          </w:tcPr>
          <w:p w14:paraId="020912C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75F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A57E8A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27BFC0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5509F5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901" w:type="dxa"/>
            <w:shd w:val="clear" w:color="auto" w:fill="auto"/>
            <w:vAlign w:val="center"/>
          </w:tcPr>
          <w:p w14:paraId="317B7C0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080303Z</w:t>
            </w:r>
          </w:p>
        </w:tc>
        <w:tc>
          <w:tcPr>
            <w:tcW w:w="2322" w:type="dxa"/>
            <w:shd w:val="clear" w:color="auto" w:fill="auto"/>
            <w:vAlign w:val="center"/>
          </w:tcPr>
          <w:p w14:paraId="5DAD685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学前儿童卫生与保健</w:t>
            </w:r>
          </w:p>
        </w:tc>
        <w:tc>
          <w:tcPr>
            <w:tcW w:w="437" w:type="dxa"/>
            <w:shd w:val="clear" w:color="auto" w:fill="auto"/>
            <w:vAlign w:val="center"/>
          </w:tcPr>
          <w:p w14:paraId="6D91B88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1A9B76B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78EC6AC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56</w:t>
            </w:r>
          </w:p>
        </w:tc>
        <w:tc>
          <w:tcPr>
            <w:tcW w:w="509" w:type="dxa"/>
            <w:shd w:val="clear" w:color="auto" w:fill="auto"/>
            <w:vAlign w:val="center"/>
          </w:tcPr>
          <w:p w14:paraId="2AD9954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27" w:type="dxa"/>
            <w:shd w:val="clear" w:color="auto" w:fill="auto"/>
            <w:vAlign w:val="center"/>
          </w:tcPr>
          <w:p w14:paraId="3CEFCCB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14A6C9D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40" w:type="dxa"/>
            <w:shd w:val="clear" w:color="auto" w:fill="auto"/>
            <w:vAlign w:val="center"/>
          </w:tcPr>
          <w:p w14:paraId="472446A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06F768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190B5BB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4785257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4F1F26B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2C3A4FF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600" w:type="dxa"/>
            <w:vAlign w:val="center"/>
          </w:tcPr>
          <w:p w14:paraId="7DF4FB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B4E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7827DBA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6EAD014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61A126B">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01" w:type="dxa"/>
            <w:shd w:val="clear" w:color="auto" w:fill="auto"/>
            <w:vAlign w:val="center"/>
          </w:tcPr>
          <w:p w14:paraId="1298291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080304Z</w:t>
            </w:r>
          </w:p>
        </w:tc>
        <w:tc>
          <w:tcPr>
            <w:tcW w:w="2322" w:type="dxa"/>
            <w:shd w:val="clear" w:color="auto" w:fill="auto"/>
            <w:vAlign w:val="center"/>
          </w:tcPr>
          <w:p w14:paraId="07AF127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kern w:val="0"/>
                <w:sz w:val="18"/>
                <w:szCs w:val="18"/>
              </w:rPr>
              <w:t>幼儿绘画</w:t>
            </w:r>
          </w:p>
        </w:tc>
        <w:tc>
          <w:tcPr>
            <w:tcW w:w="437" w:type="dxa"/>
            <w:shd w:val="clear" w:color="auto" w:fill="auto"/>
            <w:vAlign w:val="center"/>
          </w:tcPr>
          <w:p w14:paraId="6318D73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2D2D93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1ED8FD7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509" w:type="dxa"/>
            <w:shd w:val="clear" w:color="auto" w:fill="auto"/>
            <w:vAlign w:val="center"/>
          </w:tcPr>
          <w:p w14:paraId="465E4F9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16</w:t>
            </w:r>
          </w:p>
        </w:tc>
        <w:tc>
          <w:tcPr>
            <w:tcW w:w="427" w:type="dxa"/>
            <w:shd w:val="clear" w:color="auto" w:fill="auto"/>
            <w:vAlign w:val="center"/>
          </w:tcPr>
          <w:p w14:paraId="3F59697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3A2223B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40" w:type="dxa"/>
            <w:shd w:val="clear" w:color="auto" w:fill="auto"/>
            <w:vAlign w:val="center"/>
          </w:tcPr>
          <w:p w14:paraId="368BD7A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4ECB16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4C4BF6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3AE6207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0286A46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42FF7DF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③</w:t>
            </w:r>
          </w:p>
        </w:tc>
        <w:tc>
          <w:tcPr>
            <w:tcW w:w="600" w:type="dxa"/>
            <w:vAlign w:val="center"/>
          </w:tcPr>
          <w:p w14:paraId="585ECB5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70E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190B86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76BB58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5A87B32D">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01" w:type="dxa"/>
            <w:shd w:val="clear" w:color="auto" w:fill="auto"/>
            <w:vAlign w:val="center"/>
          </w:tcPr>
          <w:p w14:paraId="38B8C6F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080305Z</w:t>
            </w:r>
          </w:p>
        </w:tc>
        <w:tc>
          <w:tcPr>
            <w:tcW w:w="2322" w:type="dxa"/>
            <w:shd w:val="clear" w:color="auto" w:fill="auto"/>
            <w:vAlign w:val="center"/>
          </w:tcPr>
          <w:p w14:paraId="2AC2728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幼儿舞蹈</w:t>
            </w:r>
          </w:p>
        </w:tc>
        <w:tc>
          <w:tcPr>
            <w:tcW w:w="437" w:type="dxa"/>
            <w:shd w:val="clear" w:color="auto" w:fill="auto"/>
            <w:vAlign w:val="center"/>
          </w:tcPr>
          <w:p w14:paraId="376885F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186692B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551551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20</w:t>
            </w:r>
          </w:p>
        </w:tc>
        <w:tc>
          <w:tcPr>
            <w:tcW w:w="509" w:type="dxa"/>
            <w:shd w:val="clear" w:color="auto" w:fill="auto"/>
            <w:vAlign w:val="center"/>
          </w:tcPr>
          <w:p w14:paraId="2B198A4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44</w:t>
            </w:r>
          </w:p>
        </w:tc>
        <w:tc>
          <w:tcPr>
            <w:tcW w:w="427" w:type="dxa"/>
            <w:shd w:val="clear" w:color="auto" w:fill="auto"/>
            <w:vAlign w:val="center"/>
          </w:tcPr>
          <w:p w14:paraId="52D5A3B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21B1B72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572EE16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0" w:type="dxa"/>
            <w:shd w:val="clear" w:color="auto" w:fill="auto"/>
            <w:vAlign w:val="center"/>
          </w:tcPr>
          <w:p w14:paraId="5020206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2" w:type="dxa"/>
            <w:shd w:val="clear" w:color="auto" w:fill="auto"/>
            <w:vAlign w:val="center"/>
          </w:tcPr>
          <w:p w14:paraId="6FF3016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7EA9885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58AA75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6715999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Align w:val="center"/>
          </w:tcPr>
          <w:p w14:paraId="17CA182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698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44FE4B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08A1B93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1F751E0">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901" w:type="dxa"/>
            <w:shd w:val="clear" w:color="auto" w:fill="auto"/>
            <w:vAlign w:val="center"/>
          </w:tcPr>
          <w:p w14:paraId="537FCA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080306Z</w:t>
            </w:r>
          </w:p>
        </w:tc>
        <w:tc>
          <w:tcPr>
            <w:tcW w:w="2322" w:type="dxa"/>
            <w:shd w:val="clear" w:color="auto" w:fill="auto"/>
            <w:vAlign w:val="center"/>
          </w:tcPr>
          <w:p w14:paraId="55783A8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钢琴</w:t>
            </w:r>
          </w:p>
        </w:tc>
        <w:tc>
          <w:tcPr>
            <w:tcW w:w="437" w:type="dxa"/>
            <w:shd w:val="clear" w:color="auto" w:fill="auto"/>
            <w:vAlign w:val="center"/>
          </w:tcPr>
          <w:p w14:paraId="0493AFA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846E34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6CD9E9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0BE024D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shd w:val="clear" w:color="auto" w:fill="auto"/>
            <w:vAlign w:val="center"/>
          </w:tcPr>
          <w:p w14:paraId="41CE7E8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14200D5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35FE3CC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00C3B5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52" w:type="dxa"/>
            <w:shd w:val="clear" w:color="auto" w:fill="auto"/>
            <w:vAlign w:val="center"/>
          </w:tcPr>
          <w:p w14:paraId="2C4B0E9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62" w:type="dxa"/>
            <w:shd w:val="clear" w:color="auto" w:fill="auto"/>
            <w:vAlign w:val="center"/>
          </w:tcPr>
          <w:p w14:paraId="121965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9524D4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2E09F04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Align w:val="center"/>
          </w:tcPr>
          <w:p w14:paraId="189714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776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313986D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C261F4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C21A5E8">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7</w:t>
            </w:r>
          </w:p>
        </w:tc>
        <w:tc>
          <w:tcPr>
            <w:tcW w:w="901" w:type="dxa"/>
            <w:shd w:val="clear" w:color="auto" w:fill="auto"/>
            <w:vAlign w:val="center"/>
          </w:tcPr>
          <w:p w14:paraId="3B9C1E3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080307Z</w:t>
            </w:r>
          </w:p>
        </w:tc>
        <w:tc>
          <w:tcPr>
            <w:tcW w:w="2322" w:type="dxa"/>
            <w:shd w:val="clear" w:color="auto" w:fill="auto"/>
            <w:vAlign w:val="center"/>
          </w:tcPr>
          <w:p w14:paraId="7612793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幼儿园教师艺术技能</w:t>
            </w:r>
          </w:p>
        </w:tc>
        <w:tc>
          <w:tcPr>
            <w:tcW w:w="437" w:type="dxa"/>
            <w:shd w:val="clear" w:color="auto" w:fill="auto"/>
            <w:vAlign w:val="center"/>
          </w:tcPr>
          <w:p w14:paraId="6875207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00D538B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73" w:type="dxa"/>
            <w:shd w:val="clear" w:color="auto" w:fill="auto"/>
            <w:vAlign w:val="center"/>
          </w:tcPr>
          <w:p w14:paraId="3D2DFAA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24</w:t>
            </w:r>
          </w:p>
        </w:tc>
        <w:tc>
          <w:tcPr>
            <w:tcW w:w="509" w:type="dxa"/>
            <w:shd w:val="clear" w:color="auto" w:fill="auto"/>
            <w:vAlign w:val="center"/>
          </w:tcPr>
          <w:p w14:paraId="204C1B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427" w:type="dxa"/>
            <w:shd w:val="clear" w:color="auto" w:fill="auto"/>
            <w:vAlign w:val="center"/>
          </w:tcPr>
          <w:p w14:paraId="622CCEC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437" w:type="dxa"/>
            <w:shd w:val="clear" w:color="auto" w:fill="auto"/>
            <w:vAlign w:val="center"/>
          </w:tcPr>
          <w:p w14:paraId="1BC98A2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00C2C33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A2693B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089B3C5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62" w:type="dxa"/>
            <w:shd w:val="clear" w:color="auto" w:fill="auto"/>
            <w:vAlign w:val="center"/>
          </w:tcPr>
          <w:p w14:paraId="6DC5B03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44E709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5929FE4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⑦</w:t>
            </w:r>
          </w:p>
        </w:tc>
        <w:tc>
          <w:tcPr>
            <w:tcW w:w="600" w:type="dxa"/>
            <w:vAlign w:val="center"/>
          </w:tcPr>
          <w:p w14:paraId="20D2200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931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53F9D3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7BEC28C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29B03465">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8</w:t>
            </w:r>
          </w:p>
        </w:tc>
        <w:tc>
          <w:tcPr>
            <w:tcW w:w="901" w:type="dxa"/>
            <w:shd w:val="clear" w:color="auto" w:fill="auto"/>
            <w:vAlign w:val="center"/>
          </w:tcPr>
          <w:p w14:paraId="342336E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080308Z</w:t>
            </w:r>
          </w:p>
        </w:tc>
        <w:tc>
          <w:tcPr>
            <w:tcW w:w="2322" w:type="dxa"/>
            <w:shd w:val="clear" w:color="auto" w:fill="auto"/>
            <w:vAlign w:val="center"/>
          </w:tcPr>
          <w:p w14:paraId="41DBF47E">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幼儿教师职业道德与施教能力</w:t>
            </w:r>
          </w:p>
        </w:tc>
        <w:tc>
          <w:tcPr>
            <w:tcW w:w="437" w:type="dxa"/>
            <w:shd w:val="clear" w:color="auto" w:fill="auto"/>
            <w:vAlign w:val="center"/>
          </w:tcPr>
          <w:p w14:paraId="7C0A4BF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72EB7D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573" w:type="dxa"/>
            <w:shd w:val="clear" w:color="auto" w:fill="auto"/>
            <w:vAlign w:val="center"/>
          </w:tcPr>
          <w:p w14:paraId="3C4D5287">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509" w:type="dxa"/>
            <w:shd w:val="clear" w:color="auto" w:fill="auto"/>
            <w:vAlign w:val="center"/>
          </w:tcPr>
          <w:p w14:paraId="5AF92510">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32</w:t>
            </w:r>
          </w:p>
        </w:tc>
        <w:tc>
          <w:tcPr>
            <w:tcW w:w="427" w:type="dxa"/>
            <w:shd w:val="clear" w:color="auto" w:fill="auto"/>
            <w:vAlign w:val="center"/>
          </w:tcPr>
          <w:p w14:paraId="022930C8">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4</w:t>
            </w:r>
          </w:p>
        </w:tc>
        <w:tc>
          <w:tcPr>
            <w:tcW w:w="437" w:type="dxa"/>
            <w:shd w:val="clear" w:color="auto" w:fill="auto"/>
            <w:vAlign w:val="center"/>
          </w:tcPr>
          <w:p w14:paraId="171D3F57">
            <w:pPr>
              <w:pageBreakBefore w:val="0"/>
              <w:widowControl/>
              <w:kinsoku/>
              <w:wordWrap/>
              <w:overflowPunct/>
              <w:topLinePunct w:val="0"/>
              <w:bidi w:val="0"/>
              <w:spacing w:line="360" w:lineRule="exact"/>
              <w:jc w:val="center"/>
              <w:rPr>
                <w:rFonts w:ascii="宋体" w:hAnsi="宋体" w:cs="宋体"/>
                <w:kern w:val="0"/>
                <w:sz w:val="18"/>
                <w:szCs w:val="18"/>
              </w:rPr>
            </w:pPr>
          </w:p>
        </w:tc>
        <w:tc>
          <w:tcPr>
            <w:tcW w:w="440" w:type="dxa"/>
            <w:shd w:val="clear" w:color="auto" w:fill="auto"/>
            <w:vAlign w:val="center"/>
          </w:tcPr>
          <w:p w14:paraId="725D93BA">
            <w:pPr>
              <w:pageBreakBefore w:val="0"/>
              <w:widowControl/>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3747D641">
            <w:pPr>
              <w:pageBreakBefore w:val="0"/>
              <w:widowControl/>
              <w:kinsoku/>
              <w:wordWrap/>
              <w:overflowPunct/>
              <w:topLinePunct w:val="0"/>
              <w:bidi w:val="0"/>
              <w:spacing w:line="360" w:lineRule="exact"/>
              <w:jc w:val="center"/>
              <w:rPr>
                <w:rFonts w:ascii="宋体" w:hAnsi="宋体" w:cs="宋体"/>
                <w:kern w:val="0"/>
                <w:sz w:val="18"/>
                <w:szCs w:val="18"/>
              </w:rPr>
            </w:pPr>
          </w:p>
        </w:tc>
        <w:tc>
          <w:tcPr>
            <w:tcW w:w="452" w:type="dxa"/>
            <w:shd w:val="clear" w:color="auto" w:fill="auto"/>
            <w:vAlign w:val="center"/>
          </w:tcPr>
          <w:p w14:paraId="7AD7051C">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64</w:t>
            </w:r>
          </w:p>
        </w:tc>
        <w:tc>
          <w:tcPr>
            <w:tcW w:w="462" w:type="dxa"/>
            <w:shd w:val="clear" w:color="auto" w:fill="auto"/>
            <w:vAlign w:val="center"/>
          </w:tcPr>
          <w:p w14:paraId="7C2D1BD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0FEB554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3AD7B4D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④⑧</w:t>
            </w:r>
          </w:p>
        </w:tc>
        <w:tc>
          <w:tcPr>
            <w:tcW w:w="600" w:type="dxa"/>
            <w:vAlign w:val="center"/>
          </w:tcPr>
          <w:p w14:paraId="354BDA5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bookmarkEnd w:id="31"/>
      <w:tr w14:paraId="4C7EC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10A03AB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32" w:name="OLE_LINK17" w:colFirst="5" w:colLast="12"/>
          </w:p>
        </w:tc>
        <w:tc>
          <w:tcPr>
            <w:tcW w:w="419" w:type="dxa"/>
            <w:vMerge w:val="continue"/>
            <w:vAlign w:val="center"/>
          </w:tcPr>
          <w:p w14:paraId="5FB7B67C">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1B798F9B">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322" w:type="dxa"/>
            <w:vAlign w:val="center"/>
          </w:tcPr>
          <w:p w14:paraId="2DE78CE2">
            <w:pPr>
              <w:pageBreakBefore w:val="0"/>
              <w:widowControl/>
              <w:kinsoku/>
              <w:wordWrap/>
              <w:overflowPunct/>
              <w:topLinePunct w:val="0"/>
              <w:bidi w:val="0"/>
              <w:spacing w:line="360" w:lineRule="exact"/>
              <w:jc w:val="center"/>
              <w:rPr>
                <w:rFonts w:hint="default" w:ascii="宋体" w:hAnsi="宋体" w:eastAsia="宋体" w:cs="宋体"/>
                <w:b/>
                <w:bCs/>
                <w:color w:val="000000" w:themeColor="text1"/>
                <w:kern w:val="0"/>
                <w:sz w:val="18"/>
                <w:szCs w:val="18"/>
                <w:lang w:val="en-US" w:eastAsia="zh-CN"/>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共8门</w:t>
            </w:r>
          </w:p>
        </w:tc>
        <w:tc>
          <w:tcPr>
            <w:tcW w:w="437" w:type="dxa"/>
            <w:vAlign w:val="center"/>
          </w:tcPr>
          <w:p w14:paraId="42D78B2D">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shd w:val="clear" w:color="auto" w:fill="auto"/>
            <w:vAlign w:val="center"/>
          </w:tcPr>
          <w:p w14:paraId="2CF633D3">
            <w:pPr>
              <w:pageBreakBefore w:val="0"/>
              <w:widowControl/>
              <w:kinsoku/>
              <w:wordWrap/>
              <w:overflowPunct/>
              <w:topLinePunct w:val="0"/>
              <w:bidi w:val="0"/>
              <w:spacing w:line="360" w:lineRule="exact"/>
              <w:jc w:val="right"/>
              <w:textAlignment w:val="center"/>
              <w:rPr>
                <w:rFonts w:ascii="宋体" w:hAnsi="宋体" w:cs="宋体"/>
                <w:b/>
                <w:bCs/>
                <w:kern w:val="0"/>
                <w:sz w:val="13"/>
                <w:szCs w:val="13"/>
              </w:rPr>
            </w:pPr>
            <w:r>
              <w:rPr>
                <w:rFonts w:hint="eastAsia" w:ascii="宋体" w:hAnsi="宋体" w:cs="宋体"/>
                <w:b/>
                <w:bCs/>
                <w:kern w:val="0"/>
                <w:sz w:val="18"/>
                <w:szCs w:val="18"/>
                <w:lang w:bidi="ar"/>
              </w:rPr>
              <w:t>384</w:t>
            </w:r>
          </w:p>
        </w:tc>
        <w:tc>
          <w:tcPr>
            <w:tcW w:w="573" w:type="dxa"/>
            <w:shd w:val="clear" w:color="auto" w:fill="auto"/>
            <w:vAlign w:val="center"/>
          </w:tcPr>
          <w:p w14:paraId="7824CC24">
            <w:pPr>
              <w:pageBreakBefore w:val="0"/>
              <w:widowControl/>
              <w:kinsoku/>
              <w:wordWrap/>
              <w:overflowPunct/>
              <w:topLinePunct w:val="0"/>
              <w:bidi w:val="0"/>
              <w:spacing w:line="360" w:lineRule="exact"/>
              <w:jc w:val="right"/>
              <w:textAlignment w:val="center"/>
              <w:rPr>
                <w:rFonts w:ascii="宋体" w:hAnsi="宋体" w:cs="宋体"/>
                <w:b/>
                <w:bCs/>
                <w:kern w:val="0"/>
                <w:sz w:val="13"/>
                <w:szCs w:val="13"/>
              </w:rPr>
            </w:pPr>
            <w:r>
              <w:rPr>
                <w:rFonts w:hint="eastAsia" w:ascii="宋体" w:hAnsi="宋体" w:cs="宋体"/>
                <w:b/>
                <w:bCs/>
                <w:kern w:val="0"/>
                <w:sz w:val="18"/>
                <w:szCs w:val="18"/>
                <w:lang w:bidi="ar"/>
              </w:rPr>
              <w:t>228</w:t>
            </w:r>
          </w:p>
        </w:tc>
        <w:tc>
          <w:tcPr>
            <w:tcW w:w="509" w:type="dxa"/>
            <w:shd w:val="clear" w:color="auto" w:fill="auto"/>
            <w:vAlign w:val="center"/>
          </w:tcPr>
          <w:p w14:paraId="1D77469E">
            <w:pPr>
              <w:pageBreakBefore w:val="0"/>
              <w:widowControl/>
              <w:kinsoku/>
              <w:wordWrap/>
              <w:overflowPunct/>
              <w:topLinePunct w:val="0"/>
              <w:bidi w:val="0"/>
              <w:spacing w:line="360" w:lineRule="exact"/>
              <w:jc w:val="right"/>
              <w:textAlignment w:val="center"/>
              <w:rPr>
                <w:rFonts w:ascii="宋体" w:hAnsi="宋体" w:cs="宋体"/>
                <w:b/>
                <w:bCs/>
                <w:kern w:val="0"/>
                <w:sz w:val="13"/>
                <w:szCs w:val="13"/>
              </w:rPr>
            </w:pPr>
            <w:r>
              <w:rPr>
                <w:rFonts w:hint="eastAsia" w:ascii="宋体" w:hAnsi="宋体" w:cs="宋体"/>
                <w:b/>
                <w:bCs/>
                <w:kern w:val="0"/>
                <w:sz w:val="18"/>
                <w:szCs w:val="18"/>
                <w:lang w:bidi="ar"/>
              </w:rPr>
              <w:t>156</w:t>
            </w:r>
          </w:p>
        </w:tc>
        <w:tc>
          <w:tcPr>
            <w:tcW w:w="427" w:type="dxa"/>
            <w:shd w:val="clear" w:color="auto" w:fill="auto"/>
            <w:vAlign w:val="center"/>
          </w:tcPr>
          <w:p w14:paraId="76B08EE2">
            <w:pPr>
              <w:pageBreakBefore w:val="0"/>
              <w:widowControl/>
              <w:kinsoku/>
              <w:wordWrap/>
              <w:overflowPunct/>
              <w:topLinePunct w:val="0"/>
              <w:bidi w:val="0"/>
              <w:spacing w:line="360" w:lineRule="exact"/>
              <w:jc w:val="right"/>
              <w:textAlignment w:val="center"/>
              <w:rPr>
                <w:rFonts w:ascii="宋体" w:hAnsi="宋体" w:cs="宋体"/>
                <w:b/>
                <w:bCs/>
                <w:kern w:val="0"/>
                <w:sz w:val="13"/>
                <w:szCs w:val="13"/>
              </w:rPr>
            </w:pPr>
            <w:r>
              <w:rPr>
                <w:rFonts w:hint="eastAsia" w:ascii="宋体" w:hAnsi="宋体" w:cs="宋体"/>
                <w:b/>
                <w:bCs/>
                <w:kern w:val="0"/>
                <w:sz w:val="18"/>
                <w:szCs w:val="18"/>
                <w:lang w:bidi="ar"/>
              </w:rPr>
              <w:t>24</w:t>
            </w:r>
          </w:p>
        </w:tc>
        <w:tc>
          <w:tcPr>
            <w:tcW w:w="437" w:type="dxa"/>
            <w:shd w:val="clear" w:color="auto" w:fill="auto"/>
            <w:vAlign w:val="center"/>
          </w:tcPr>
          <w:p w14:paraId="65D5655A">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128</w:t>
            </w:r>
          </w:p>
        </w:tc>
        <w:tc>
          <w:tcPr>
            <w:tcW w:w="440" w:type="dxa"/>
            <w:shd w:val="clear" w:color="auto" w:fill="auto"/>
            <w:vAlign w:val="center"/>
          </w:tcPr>
          <w:p w14:paraId="11B41D3B">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64</w:t>
            </w:r>
          </w:p>
        </w:tc>
        <w:tc>
          <w:tcPr>
            <w:tcW w:w="450" w:type="dxa"/>
            <w:shd w:val="clear" w:color="auto" w:fill="auto"/>
            <w:vAlign w:val="center"/>
          </w:tcPr>
          <w:p w14:paraId="76CA8F4D">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64</w:t>
            </w:r>
          </w:p>
        </w:tc>
        <w:tc>
          <w:tcPr>
            <w:tcW w:w="452" w:type="dxa"/>
            <w:shd w:val="clear" w:color="auto" w:fill="auto"/>
            <w:vAlign w:val="center"/>
          </w:tcPr>
          <w:p w14:paraId="1C32954B">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128</w:t>
            </w:r>
          </w:p>
        </w:tc>
        <w:tc>
          <w:tcPr>
            <w:tcW w:w="462" w:type="dxa"/>
            <w:shd w:val="clear" w:color="auto" w:fill="auto"/>
            <w:vAlign w:val="center"/>
          </w:tcPr>
          <w:p w14:paraId="12741393">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50" w:type="dxa"/>
            <w:shd w:val="clear" w:color="auto" w:fill="auto"/>
            <w:vAlign w:val="center"/>
          </w:tcPr>
          <w:p w14:paraId="0BB28ED0">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74" w:type="dxa"/>
            <w:vAlign w:val="center"/>
          </w:tcPr>
          <w:p w14:paraId="7CEE924D">
            <w:pPr>
              <w:pageBreakBefore w:val="0"/>
              <w:widowControl/>
              <w:kinsoku/>
              <w:wordWrap/>
              <w:overflowPunct/>
              <w:topLinePunct w:val="0"/>
              <w:bidi w:val="0"/>
              <w:spacing w:line="360" w:lineRule="exact"/>
              <w:jc w:val="center"/>
              <w:rPr>
                <w:rFonts w:ascii="宋体" w:hAnsi="宋体" w:cs="宋体"/>
                <w:b/>
                <w:bCs/>
                <w:color w:val="0000FF"/>
                <w:kern w:val="0"/>
                <w:sz w:val="18"/>
                <w:szCs w:val="18"/>
              </w:rPr>
            </w:pPr>
          </w:p>
        </w:tc>
        <w:tc>
          <w:tcPr>
            <w:tcW w:w="600" w:type="dxa"/>
            <w:vAlign w:val="center"/>
          </w:tcPr>
          <w:p w14:paraId="132E0C6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bookmarkEnd w:id="32"/>
      <w:tr w14:paraId="47B1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4AA0639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33" w:name="OLE_LINK23" w:colFirst="6" w:colLast="13"/>
          </w:p>
        </w:tc>
        <w:tc>
          <w:tcPr>
            <w:tcW w:w="419" w:type="dxa"/>
            <w:vMerge w:val="restart"/>
            <w:vAlign w:val="center"/>
          </w:tcPr>
          <w:p w14:paraId="5705404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专业核心课</w:t>
            </w:r>
          </w:p>
        </w:tc>
        <w:tc>
          <w:tcPr>
            <w:tcW w:w="396" w:type="dxa"/>
            <w:vAlign w:val="center"/>
          </w:tcPr>
          <w:p w14:paraId="61D56E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shd w:val="clear" w:color="auto" w:fill="auto"/>
            <w:vAlign w:val="center"/>
          </w:tcPr>
          <w:p w14:paraId="13AF509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080309Z</w:t>
            </w:r>
          </w:p>
        </w:tc>
        <w:tc>
          <w:tcPr>
            <w:tcW w:w="2322" w:type="dxa"/>
            <w:shd w:val="clear" w:color="auto" w:fill="auto"/>
            <w:vAlign w:val="center"/>
          </w:tcPr>
          <w:p w14:paraId="2B2E071D">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幼儿园教育活动设计与实施</w:t>
            </w:r>
          </w:p>
        </w:tc>
        <w:tc>
          <w:tcPr>
            <w:tcW w:w="437" w:type="dxa"/>
            <w:shd w:val="clear" w:color="auto" w:fill="auto"/>
            <w:vAlign w:val="center"/>
          </w:tcPr>
          <w:p w14:paraId="72F5997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F9F3C1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09101B8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4AFF0CF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shd w:val="clear" w:color="auto" w:fill="auto"/>
            <w:vAlign w:val="center"/>
          </w:tcPr>
          <w:p w14:paraId="7B284D9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2F084E3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0CFA588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BFE1D0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738F1C6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1C0CD56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CBBA2A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461884B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⑦</w:t>
            </w:r>
          </w:p>
        </w:tc>
        <w:tc>
          <w:tcPr>
            <w:tcW w:w="600" w:type="dxa"/>
            <w:vAlign w:val="center"/>
          </w:tcPr>
          <w:p w14:paraId="270C0B9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210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50" w:type="dxa"/>
            <w:vMerge w:val="continue"/>
            <w:vAlign w:val="center"/>
          </w:tcPr>
          <w:p w14:paraId="2ACD50B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FC1B52D">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8418DF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141A2BE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080310Z</w:t>
            </w:r>
          </w:p>
        </w:tc>
        <w:tc>
          <w:tcPr>
            <w:tcW w:w="2322" w:type="dxa"/>
            <w:shd w:val="clear" w:color="auto" w:fill="auto"/>
            <w:vAlign w:val="center"/>
          </w:tcPr>
          <w:p w14:paraId="7E2E3F66">
            <w:pPr>
              <w:pageBreakBefore w:val="0"/>
              <w:widowControl/>
              <w:kinsoku/>
              <w:wordWrap/>
              <w:overflowPunct/>
              <w:topLinePunct w:val="0"/>
              <w:bidi w:val="0"/>
              <w:spacing w:line="360" w:lineRule="exact"/>
              <w:jc w:val="center"/>
              <w:rPr>
                <w:rFonts w:ascii="宋体" w:hAnsi="宋体" w:cs="宋体"/>
                <w:kern w:val="0"/>
                <w:sz w:val="18"/>
                <w:szCs w:val="18"/>
              </w:rPr>
            </w:pPr>
            <w:r>
              <w:rPr>
                <w:rFonts w:hint="eastAsia" w:ascii="宋体" w:hAnsi="宋体" w:cs="宋体"/>
                <w:kern w:val="0"/>
                <w:sz w:val="18"/>
                <w:szCs w:val="18"/>
              </w:rPr>
              <w:t>幼儿园课程</w:t>
            </w:r>
          </w:p>
        </w:tc>
        <w:tc>
          <w:tcPr>
            <w:tcW w:w="437" w:type="dxa"/>
            <w:shd w:val="clear" w:color="auto" w:fill="auto"/>
            <w:vAlign w:val="center"/>
          </w:tcPr>
          <w:p w14:paraId="0ED51E6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192BBC1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4E7B976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65E62E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shd w:val="clear" w:color="auto" w:fill="auto"/>
            <w:vAlign w:val="center"/>
          </w:tcPr>
          <w:p w14:paraId="6B1C16B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2E963D2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7B45965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3E0B722">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452" w:type="dxa"/>
            <w:shd w:val="clear" w:color="auto" w:fill="auto"/>
            <w:vAlign w:val="center"/>
          </w:tcPr>
          <w:p w14:paraId="3E1922D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4BCB2C8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E470B2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2FD6F51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Align w:val="center"/>
          </w:tcPr>
          <w:p w14:paraId="4C753BE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61B2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21AE5E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1A5FC6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380253A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3</w:t>
            </w:r>
          </w:p>
        </w:tc>
        <w:tc>
          <w:tcPr>
            <w:tcW w:w="901" w:type="dxa"/>
            <w:shd w:val="clear" w:color="auto" w:fill="auto"/>
            <w:vAlign w:val="center"/>
          </w:tcPr>
          <w:p w14:paraId="1D369DF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080311Z</w:t>
            </w:r>
          </w:p>
        </w:tc>
        <w:tc>
          <w:tcPr>
            <w:tcW w:w="2322" w:type="dxa"/>
            <w:shd w:val="clear" w:color="auto" w:fill="auto"/>
            <w:vAlign w:val="center"/>
          </w:tcPr>
          <w:p w14:paraId="67A59D8A">
            <w:pPr>
              <w:pageBreakBefore w:val="0"/>
              <w:widowControl/>
              <w:kinsoku/>
              <w:wordWrap/>
              <w:overflowPunct/>
              <w:topLinePunct w:val="0"/>
              <w:bidi w:val="0"/>
              <w:spacing w:line="360" w:lineRule="exact"/>
              <w:jc w:val="center"/>
              <w:rPr>
                <w:rFonts w:ascii="宋体" w:hAnsi="宋体" w:cs="宋体"/>
                <w:kern w:val="0"/>
                <w:sz w:val="18"/>
                <w:szCs w:val="18"/>
              </w:rPr>
            </w:pPr>
            <w:bookmarkStart w:id="34" w:name="OLE_LINK3"/>
            <w:r>
              <w:rPr>
                <w:rFonts w:hint="eastAsia" w:ascii="宋体" w:hAnsi="宋体" w:cs="宋体"/>
                <w:kern w:val="0"/>
                <w:sz w:val="18"/>
                <w:szCs w:val="18"/>
              </w:rPr>
              <w:t>幼儿园环境创设</w:t>
            </w:r>
            <w:bookmarkEnd w:id="34"/>
          </w:p>
        </w:tc>
        <w:tc>
          <w:tcPr>
            <w:tcW w:w="437" w:type="dxa"/>
            <w:shd w:val="clear" w:color="auto" w:fill="auto"/>
            <w:vAlign w:val="center"/>
          </w:tcPr>
          <w:p w14:paraId="7C8130D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7FB99ED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1943CD9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1BF8B40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shd w:val="clear" w:color="auto" w:fill="auto"/>
            <w:vAlign w:val="center"/>
          </w:tcPr>
          <w:p w14:paraId="51BDECF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6E2818E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522D2FD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5B0CF5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11F31F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62" w:type="dxa"/>
            <w:shd w:val="clear" w:color="auto" w:fill="auto"/>
            <w:vAlign w:val="center"/>
          </w:tcPr>
          <w:p w14:paraId="552A45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4B99EFC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27EF9D9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⑦</w:t>
            </w:r>
          </w:p>
        </w:tc>
        <w:tc>
          <w:tcPr>
            <w:tcW w:w="600" w:type="dxa"/>
            <w:vAlign w:val="center"/>
          </w:tcPr>
          <w:p w14:paraId="2391AA7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175D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05D779E">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393B895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703A1F4E">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4</w:t>
            </w:r>
          </w:p>
        </w:tc>
        <w:tc>
          <w:tcPr>
            <w:tcW w:w="901" w:type="dxa"/>
            <w:shd w:val="clear" w:color="auto" w:fill="auto"/>
            <w:vAlign w:val="center"/>
          </w:tcPr>
          <w:p w14:paraId="6E3F7EC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080312Z</w:t>
            </w:r>
          </w:p>
        </w:tc>
        <w:tc>
          <w:tcPr>
            <w:tcW w:w="2322" w:type="dxa"/>
            <w:shd w:val="clear" w:color="auto" w:fill="auto"/>
            <w:vAlign w:val="center"/>
          </w:tcPr>
          <w:p w14:paraId="0E806456">
            <w:pPr>
              <w:pageBreakBefore w:val="0"/>
              <w:widowControl/>
              <w:kinsoku/>
              <w:wordWrap/>
              <w:overflowPunct/>
              <w:topLinePunct w:val="0"/>
              <w:bidi w:val="0"/>
              <w:spacing w:line="360" w:lineRule="exact"/>
              <w:jc w:val="center"/>
              <w:rPr>
                <w:rFonts w:ascii="宋体" w:hAnsi="宋体" w:cs="宋体"/>
                <w:kern w:val="0"/>
                <w:sz w:val="18"/>
                <w:szCs w:val="18"/>
              </w:rPr>
            </w:pPr>
            <w:bookmarkStart w:id="35" w:name="OLE_LINK6"/>
            <w:r>
              <w:rPr>
                <w:rFonts w:hint="eastAsia" w:ascii="宋体" w:hAnsi="宋体" w:cs="宋体"/>
                <w:kern w:val="0"/>
                <w:sz w:val="18"/>
                <w:szCs w:val="18"/>
              </w:rPr>
              <w:t>幼儿园班级管理</w:t>
            </w:r>
            <w:bookmarkEnd w:id="35"/>
          </w:p>
        </w:tc>
        <w:tc>
          <w:tcPr>
            <w:tcW w:w="437" w:type="dxa"/>
            <w:shd w:val="clear" w:color="auto" w:fill="auto"/>
            <w:vAlign w:val="center"/>
          </w:tcPr>
          <w:p w14:paraId="71AF4BA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0AF54C3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1ECDC5E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6700063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shd w:val="clear" w:color="auto" w:fill="auto"/>
            <w:vAlign w:val="center"/>
          </w:tcPr>
          <w:p w14:paraId="51C7AC4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39AEFA5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173241F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9B777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52" w:type="dxa"/>
            <w:shd w:val="clear" w:color="auto" w:fill="auto"/>
            <w:vAlign w:val="center"/>
          </w:tcPr>
          <w:p w14:paraId="5B2DB95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436F092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888BC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3112CAB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⑦</w:t>
            </w:r>
          </w:p>
        </w:tc>
        <w:tc>
          <w:tcPr>
            <w:tcW w:w="600" w:type="dxa"/>
            <w:vAlign w:val="center"/>
          </w:tcPr>
          <w:p w14:paraId="04B15FD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0852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AA825E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4865A1A">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152EB29B">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5</w:t>
            </w:r>
          </w:p>
        </w:tc>
        <w:tc>
          <w:tcPr>
            <w:tcW w:w="901" w:type="dxa"/>
            <w:shd w:val="clear" w:color="auto" w:fill="auto"/>
            <w:vAlign w:val="center"/>
          </w:tcPr>
          <w:p w14:paraId="40243A4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080313Z</w:t>
            </w:r>
          </w:p>
        </w:tc>
        <w:tc>
          <w:tcPr>
            <w:tcW w:w="2322" w:type="dxa"/>
            <w:shd w:val="clear" w:color="auto" w:fill="auto"/>
            <w:vAlign w:val="center"/>
          </w:tcPr>
          <w:p w14:paraId="5E3358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幼儿行为观察与评价</w:t>
            </w:r>
          </w:p>
        </w:tc>
        <w:tc>
          <w:tcPr>
            <w:tcW w:w="437" w:type="dxa"/>
            <w:shd w:val="clear" w:color="auto" w:fill="auto"/>
            <w:vAlign w:val="center"/>
          </w:tcPr>
          <w:p w14:paraId="1B921DD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07A7E3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6E8FE1E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7BFF775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shd w:val="clear" w:color="auto" w:fill="auto"/>
            <w:vAlign w:val="center"/>
          </w:tcPr>
          <w:p w14:paraId="4CBE275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3F47EFB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7C37D44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BD27E6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35D789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462" w:type="dxa"/>
            <w:shd w:val="clear" w:color="auto" w:fill="auto"/>
            <w:vAlign w:val="center"/>
          </w:tcPr>
          <w:p w14:paraId="2361260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3F68EA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1103DE3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⑦</w:t>
            </w:r>
          </w:p>
        </w:tc>
        <w:tc>
          <w:tcPr>
            <w:tcW w:w="600" w:type="dxa"/>
            <w:vAlign w:val="center"/>
          </w:tcPr>
          <w:p w14:paraId="5A0E4E3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4B9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0EC93603">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3C4F0C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6FFF151">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6</w:t>
            </w:r>
          </w:p>
        </w:tc>
        <w:tc>
          <w:tcPr>
            <w:tcW w:w="901" w:type="dxa"/>
            <w:shd w:val="clear" w:color="auto" w:fill="auto"/>
            <w:vAlign w:val="center"/>
          </w:tcPr>
          <w:p w14:paraId="0FB3961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080314Z</w:t>
            </w:r>
          </w:p>
        </w:tc>
        <w:tc>
          <w:tcPr>
            <w:tcW w:w="2322" w:type="dxa"/>
            <w:shd w:val="clear" w:color="auto" w:fill="auto"/>
            <w:vAlign w:val="center"/>
          </w:tcPr>
          <w:p w14:paraId="02FB30A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幼儿游戏活动指导</w:t>
            </w:r>
          </w:p>
        </w:tc>
        <w:tc>
          <w:tcPr>
            <w:tcW w:w="437" w:type="dxa"/>
            <w:shd w:val="clear" w:color="auto" w:fill="auto"/>
            <w:vAlign w:val="center"/>
          </w:tcPr>
          <w:p w14:paraId="55ED7B6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5BAE868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64</w:t>
            </w:r>
          </w:p>
        </w:tc>
        <w:tc>
          <w:tcPr>
            <w:tcW w:w="573" w:type="dxa"/>
            <w:shd w:val="clear" w:color="auto" w:fill="auto"/>
            <w:vAlign w:val="center"/>
          </w:tcPr>
          <w:p w14:paraId="401F12A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509" w:type="dxa"/>
            <w:shd w:val="clear" w:color="auto" w:fill="auto"/>
            <w:vAlign w:val="center"/>
          </w:tcPr>
          <w:p w14:paraId="47248EF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32</w:t>
            </w:r>
          </w:p>
        </w:tc>
        <w:tc>
          <w:tcPr>
            <w:tcW w:w="427" w:type="dxa"/>
            <w:shd w:val="clear" w:color="auto" w:fill="auto"/>
            <w:vAlign w:val="center"/>
          </w:tcPr>
          <w:p w14:paraId="5BE1A7B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437" w:type="dxa"/>
            <w:shd w:val="clear" w:color="auto" w:fill="auto"/>
            <w:vAlign w:val="center"/>
          </w:tcPr>
          <w:p w14:paraId="208DA87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3802369A">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450" w:type="dxa"/>
            <w:shd w:val="clear" w:color="auto" w:fill="auto"/>
            <w:vAlign w:val="center"/>
          </w:tcPr>
          <w:p w14:paraId="1543706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55402C9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6A5B6DB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E903C0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436E284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⑦</w:t>
            </w:r>
          </w:p>
        </w:tc>
        <w:tc>
          <w:tcPr>
            <w:tcW w:w="600" w:type="dxa"/>
            <w:vAlign w:val="center"/>
          </w:tcPr>
          <w:p w14:paraId="41435A2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bookmarkEnd w:id="33"/>
      <w:tr w14:paraId="3BEE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CDD874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36" w:name="OLE_LINK18" w:colFirst="5" w:colLast="12"/>
          </w:p>
        </w:tc>
        <w:tc>
          <w:tcPr>
            <w:tcW w:w="419" w:type="dxa"/>
            <w:vMerge w:val="continue"/>
            <w:vAlign w:val="center"/>
          </w:tcPr>
          <w:p w14:paraId="4631E94F">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17CD4994">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322" w:type="dxa"/>
            <w:vAlign w:val="center"/>
          </w:tcPr>
          <w:p w14:paraId="28DD37CC">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共6门</w:t>
            </w:r>
          </w:p>
        </w:tc>
        <w:tc>
          <w:tcPr>
            <w:tcW w:w="437" w:type="dxa"/>
            <w:vAlign w:val="center"/>
          </w:tcPr>
          <w:p w14:paraId="507F31EE">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shd w:val="clear" w:color="auto" w:fill="auto"/>
            <w:vAlign w:val="center"/>
          </w:tcPr>
          <w:p w14:paraId="555D21FC">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384</w:t>
            </w:r>
          </w:p>
        </w:tc>
        <w:tc>
          <w:tcPr>
            <w:tcW w:w="573" w:type="dxa"/>
            <w:shd w:val="clear" w:color="auto" w:fill="auto"/>
            <w:vAlign w:val="center"/>
          </w:tcPr>
          <w:p w14:paraId="135127CD">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192</w:t>
            </w:r>
          </w:p>
        </w:tc>
        <w:tc>
          <w:tcPr>
            <w:tcW w:w="509" w:type="dxa"/>
            <w:shd w:val="clear" w:color="auto" w:fill="auto"/>
            <w:vAlign w:val="center"/>
          </w:tcPr>
          <w:p w14:paraId="43E535CA">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192</w:t>
            </w:r>
          </w:p>
        </w:tc>
        <w:tc>
          <w:tcPr>
            <w:tcW w:w="427" w:type="dxa"/>
            <w:shd w:val="clear" w:color="auto" w:fill="auto"/>
            <w:vAlign w:val="center"/>
          </w:tcPr>
          <w:p w14:paraId="5DA94D52">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24</w:t>
            </w:r>
          </w:p>
        </w:tc>
        <w:tc>
          <w:tcPr>
            <w:tcW w:w="437" w:type="dxa"/>
            <w:shd w:val="clear" w:color="auto" w:fill="auto"/>
            <w:vAlign w:val="center"/>
          </w:tcPr>
          <w:p w14:paraId="26DB32CF">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40" w:type="dxa"/>
            <w:shd w:val="clear" w:color="auto" w:fill="auto"/>
            <w:vAlign w:val="center"/>
          </w:tcPr>
          <w:p w14:paraId="213ADB23">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64</w:t>
            </w:r>
          </w:p>
        </w:tc>
        <w:tc>
          <w:tcPr>
            <w:tcW w:w="450" w:type="dxa"/>
            <w:shd w:val="clear" w:color="auto" w:fill="auto"/>
            <w:vAlign w:val="center"/>
          </w:tcPr>
          <w:p w14:paraId="29343C26">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192</w:t>
            </w:r>
          </w:p>
        </w:tc>
        <w:tc>
          <w:tcPr>
            <w:tcW w:w="452" w:type="dxa"/>
            <w:shd w:val="clear" w:color="auto" w:fill="auto"/>
            <w:vAlign w:val="center"/>
          </w:tcPr>
          <w:p w14:paraId="332EBA09">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128</w:t>
            </w:r>
          </w:p>
        </w:tc>
        <w:tc>
          <w:tcPr>
            <w:tcW w:w="462" w:type="dxa"/>
            <w:shd w:val="clear" w:color="auto" w:fill="auto"/>
            <w:vAlign w:val="center"/>
          </w:tcPr>
          <w:p w14:paraId="5488FD3E">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50" w:type="dxa"/>
            <w:shd w:val="clear" w:color="auto" w:fill="auto"/>
            <w:vAlign w:val="center"/>
          </w:tcPr>
          <w:p w14:paraId="25BD8FEF">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74" w:type="dxa"/>
            <w:vAlign w:val="center"/>
          </w:tcPr>
          <w:p w14:paraId="3C88EEDF">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Align w:val="center"/>
          </w:tcPr>
          <w:p w14:paraId="7AE4264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bookmarkEnd w:id="36"/>
      <w:tr w14:paraId="6297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2CF6720B">
            <w:pPr>
              <w:pageBreakBefore w:val="0"/>
              <w:kinsoku/>
              <w:wordWrap/>
              <w:overflowPunct/>
              <w:topLinePunct w:val="0"/>
              <w:bidi w:val="0"/>
              <w:spacing w:line="360" w:lineRule="exact"/>
              <w:jc w:val="left"/>
            </w:pPr>
          </w:p>
          <w:p w14:paraId="0AD89E4C">
            <w:pPr>
              <w:pStyle w:val="2"/>
              <w:pageBreakBefore w:val="0"/>
              <w:kinsoku/>
              <w:wordWrap/>
              <w:overflowPunct/>
              <w:topLinePunct w:val="0"/>
              <w:bidi w:val="0"/>
              <w:spacing w:after="0" w:line="360" w:lineRule="exact"/>
            </w:pPr>
          </w:p>
        </w:tc>
        <w:tc>
          <w:tcPr>
            <w:tcW w:w="419" w:type="dxa"/>
            <w:vMerge w:val="restart"/>
            <w:vAlign w:val="center"/>
          </w:tcPr>
          <w:p w14:paraId="7B93667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专业拓展课</w:t>
            </w:r>
          </w:p>
        </w:tc>
        <w:tc>
          <w:tcPr>
            <w:tcW w:w="396" w:type="dxa"/>
            <w:vAlign w:val="center"/>
          </w:tcPr>
          <w:p w14:paraId="17EF3F7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shd w:val="clear" w:color="auto" w:fill="auto"/>
            <w:vAlign w:val="center"/>
          </w:tcPr>
          <w:p w14:paraId="38694B0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080315Z</w:t>
            </w:r>
          </w:p>
        </w:tc>
        <w:tc>
          <w:tcPr>
            <w:tcW w:w="2322" w:type="dxa"/>
            <w:shd w:val="clear" w:color="auto" w:fill="auto"/>
            <w:vAlign w:val="center"/>
          </w:tcPr>
          <w:p w14:paraId="36A7BE3B">
            <w:pPr>
              <w:pageBreakBefore w:val="0"/>
              <w:widowControl/>
              <w:kinsoku/>
              <w:wordWrap/>
              <w:overflowPunct/>
              <w:topLinePunct w:val="0"/>
              <w:bidi w:val="0"/>
              <w:spacing w:line="360" w:lineRule="exact"/>
              <w:jc w:val="center"/>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少儿体适能训练与指导</w:t>
            </w:r>
          </w:p>
        </w:tc>
        <w:tc>
          <w:tcPr>
            <w:tcW w:w="437" w:type="dxa"/>
            <w:shd w:val="clear" w:color="auto" w:fill="auto"/>
            <w:vAlign w:val="center"/>
          </w:tcPr>
          <w:p w14:paraId="2CE1A0B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A3DAEFE">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73BA8EA4">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06A9EAF1">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5402B68F">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7D2DBD58">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40" w:type="dxa"/>
            <w:shd w:val="clear" w:color="auto" w:fill="auto"/>
            <w:vAlign w:val="center"/>
          </w:tcPr>
          <w:p w14:paraId="0E30A6F5">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04F57CD">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5A909E47">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238C6B8D">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3D981D6">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7242BC4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Merge w:val="restart"/>
            <w:vAlign w:val="center"/>
          </w:tcPr>
          <w:p w14:paraId="08E2742A">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二选一</w:t>
            </w:r>
          </w:p>
        </w:tc>
      </w:tr>
      <w:tr w14:paraId="1C9A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C8F4811">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4F607CF">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381FB56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shd w:val="clear" w:color="auto" w:fill="auto"/>
            <w:vAlign w:val="center"/>
          </w:tcPr>
          <w:p w14:paraId="6977E4F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080316Z</w:t>
            </w:r>
          </w:p>
        </w:tc>
        <w:tc>
          <w:tcPr>
            <w:tcW w:w="2322" w:type="dxa"/>
            <w:shd w:val="clear" w:color="auto" w:fill="auto"/>
            <w:vAlign w:val="center"/>
          </w:tcPr>
          <w:p w14:paraId="27197DA4">
            <w:pPr>
              <w:pageBreakBefore w:val="0"/>
              <w:widowControl/>
              <w:kinsoku/>
              <w:wordWrap/>
              <w:overflowPunct/>
              <w:topLinePunct w:val="0"/>
              <w:bidi w:val="0"/>
              <w:spacing w:line="360" w:lineRule="exact"/>
              <w:jc w:val="center"/>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kern w:val="0"/>
                <w:sz w:val="18"/>
                <w:szCs w:val="18"/>
              </w:rPr>
              <w:t>儿童文学</w:t>
            </w:r>
          </w:p>
        </w:tc>
        <w:tc>
          <w:tcPr>
            <w:tcW w:w="437" w:type="dxa"/>
            <w:shd w:val="clear" w:color="auto" w:fill="auto"/>
            <w:vAlign w:val="center"/>
          </w:tcPr>
          <w:p w14:paraId="7279D3E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50495853">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5BFA03AF">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0AC055D1">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57A06150">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4DAE2DA8">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40" w:type="dxa"/>
            <w:shd w:val="clear" w:color="auto" w:fill="auto"/>
            <w:vAlign w:val="center"/>
          </w:tcPr>
          <w:p w14:paraId="79B9AF41">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B4F19B9">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776161A9">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10C3B2B5">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88BBCA5">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75C71D9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Merge w:val="continue"/>
            <w:vAlign w:val="center"/>
          </w:tcPr>
          <w:p w14:paraId="4892A5B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719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9CC008C">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E97C066">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0A19B9E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p>
        </w:tc>
        <w:tc>
          <w:tcPr>
            <w:tcW w:w="901" w:type="dxa"/>
            <w:shd w:val="clear" w:color="auto" w:fill="auto"/>
            <w:vAlign w:val="center"/>
          </w:tcPr>
          <w:p w14:paraId="35DCD7D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080317Z</w:t>
            </w:r>
          </w:p>
        </w:tc>
        <w:tc>
          <w:tcPr>
            <w:tcW w:w="2322" w:type="dxa"/>
            <w:shd w:val="clear" w:color="auto" w:fill="auto"/>
            <w:vAlign w:val="center"/>
          </w:tcPr>
          <w:p w14:paraId="61CD7E0E">
            <w:pPr>
              <w:pageBreakBefore w:val="0"/>
              <w:widowControl/>
              <w:kinsoku/>
              <w:wordWrap/>
              <w:overflowPunct/>
              <w:topLinePunct w:val="0"/>
              <w:bidi w:val="0"/>
              <w:spacing w:line="360" w:lineRule="exact"/>
              <w:jc w:val="center"/>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kern w:val="0"/>
                <w:sz w:val="18"/>
                <w:szCs w:val="18"/>
              </w:rPr>
              <w:t>中外学前教育史</w:t>
            </w:r>
          </w:p>
        </w:tc>
        <w:tc>
          <w:tcPr>
            <w:tcW w:w="437" w:type="dxa"/>
            <w:shd w:val="clear" w:color="auto" w:fill="auto"/>
            <w:vAlign w:val="center"/>
          </w:tcPr>
          <w:p w14:paraId="3F24836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36521B1D">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162F23F3">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7EAEA7EF">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072AA80A">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575EC636">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72CCAE62">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C88F52F">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52" w:type="dxa"/>
            <w:shd w:val="clear" w:color="auto" w:fill="auto"/>
            <w:vAlign w:val="center"/>
          </w:tcPr>
          <w:p w14:paraId="3442B0F2">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398C701D">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E910345">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51068C6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600" w:type="dxa"/>
            <w:vMerge w:val="restart"/>
            <w:vAlign w:val="center"/>
          </w:tcPr>
          <w:p w14:paraId="6354E55E">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二选一</w:t>
            </w:r>
          </w:p>
        </w:tc>
      </w:tr>
      <w:tr w14:paraId="71CD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50" w:type="dxa"/>
            <w:vMerge w:val="continue"/>
            <w:vAlign w:val="center"/>
          </w:tcPr>
          <w:p w14:paraId="7E1F88EB">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37" w:name="OLE_LINK2" w:colFirst="4" w:colLast="16"/>
          </w:p>
        </w:tc>
        <w:tc>
          <w:tcPr>
            <w:tcW w:w="419" w:type="dxa"/>
            <w:vMerge w:val="continue"/>
            <w:vAlign w:val="center"/>
          </w:tcPr>
          <w:p w14:paraId="4D47A735">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0B3779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901" w:type="dxa"/>
            <w:shd w:val="clear" w:color="auto" w:fill="auto"/>
            <w:vAlign w:val="center"/>
          </w:tcPr>
          <w:p w14:paraId="4C8E948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080318Z</w:t>
            </w:r>
          </w:p>
        </w:tc>
        <w:tc>
          <w:tcPr>
            <w:tcW w:w="2322" w:type="dxa"/>
            <w:shd w:val="clear" w:color="auto" w:fill="auto"/>
            <w:vAlign w:val="center"/>
          </w:tcPr>
          <w:p w14:paraId="302BD6CB">
            <w:pPr>
              <w:pageBreakBefore w:val="0"/>
              <w:widowControl/>
              <w:kinsoku/>
              <w:wordWrap/>
              <w:overflowPunct/>
              <w:topLinePunct w:val="0"/>
              <w:bidi w:val="0"/>
              <w:spacing w:line="360" w:lineRule="exact"/>
              <w:jc w:val="center"/>
              <w:rPr>
                <w:rFonts w:ascii="宋体" w:hAnsi="宋体" w:cs="宋体"/>
                <w:b w:val="0"/>
                <w:bCs w:val="0"/>
                <w:kern w:val="0"/>
                <w:sz w:val="18"/>
                <w:szCs w:val="18"/>
              </w:rPr>
            </w:pPr>
            <w:bookmarkStart w:id="38" w:name="OLE_LINK5"/>
            <w:r>
              <w:rPr>
                <w:rFonts w:hint="eastAsia" w:ascii="宋体" w:hAnsi="宋体" w:cs="宋体"/>
                <w:b w:val="0"/>
                <w:bCs w:val="0"/>
                <w:kern w:val="0"/>
                <w:sz w:val="18"/>
                <w:szCs w:val="18"/>
              </w:rPr>
              <w:t>幼儿园玩教具制作</w:t>
            </w:r>
            <w:bookmarkEnd w:id="38"/>
          </w:p>
        </w:tc>
        <w:tc>
          <w:tcPr>
            <w:tcW w:w="437" w:type="dxa"/>
            <w:shd w:val="clear" w:color="auto" w:fill="auto"/>
            <w:vAlign w:val="center"/>
          </w:tcPr>
          <w:p w14:paraId="53F1392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726EA9D5">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573" w:type="dxa"/>
            <w:shd w:val="clear" w:color="auto" w:fill="auto"/>
            <w:vAlign w:val="center"/>
          </w:tcPr>
          <w:p w14:paraId="34EDC77E">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509" w:type="dxa"/>
            <w:shd w:val="clear" w:color="auto" w:fill="auto"/>
            <w:vAlign w:val="center"/>
          </w:tcPr>
          <w:p w14:paraId="2214917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16</w:t>
            </w:r>
          </w:p>
        </w:tc>
        <w:tc>
          <w:tcPr>
            <w:tcW w:w="427" w:type="dxa"/>
            <w:shd w:val="clear" w:color="auto" w:fill="auto"/>
            <w:vAlign w:val="center"/>
          </w:tcPr>
          <w:p w14:paraId="2A59561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437" w:type="dxa"/>
            <w:shd w:val="clear" w:color="auto" w:fill="auto"/>
            <w:vAlign w:val="center"/>
          </w:tcPr>
          <w:p w14:paraId="6FA8DCE7">
            <w:pPr>
              <w:pageBreakBefore w:val="0"/>
              <w:kinsoku/>
              <w:wordWrap/>
              <w:overflowPunct/>
              <w:topLinePunct w:val="0"/>
              <w:bidi w:val="0"/>
              <w:spacing w:line="360" w:lineRule="exact"/>
              <w:jc w:val="center"/>
              <w:rPr>
                <w:rFonts w:ascii="宋体" w:hAnsi="宋体" w:cs="宋体"/>
                <w:kern w:val="0"/>
                <w:sz w:val="18"/>
                <w:szCs w:val="18"/>
              </w:rPr>
            </w:pPr>
          </w:p>
        </w:tc>
        <w:tc>
          <w:tcPr>
            <w:tcW w:w="440" w:type="dxa"/>
            <w:shd w:val="clear" w:color="auto" w:fill="auto"/>
            <w:vAlign w:val="center"/>
          </w:tcPr>
          <w:p w14:paraId="79BCA289">
            <w:pPr>
              <w:pageBreakBefore w:val="0"/>
              <w:kinsoku/>
              <w:wordWrap/>
              <w:overflowPunct/>
              <w:topLinePunct w:val="0"/>
              <w:bidi w:val="0"/>
              <w:spacing w:line="360" w:lineRule="exact"/>
              <w:jc w:val="center"/>
              <w:rPr>
                <w:rFonts w:ascii="宋体" w:hAnsi="宋体" w:cs="宋体"/>
                <w:kern w:val="0"/>
                <w:sz w:val="18"/>
                <w:szCs w:val="18"/>
              </w:rPr>
            </w:pPr>
          </w:p>
        </w:tc>
        <w:tc>
          <w:tcPr>
            <w:tcW w:w="450" w:type="dxa"/>
            <w:shd w:val="clear" w:color="auto" w:fill="auto"/>
            <w:vAlign w:val="center"/>
          </w:tcPr>
          <w:p w14:paraId="0AFFE1E3">
            <w:pPr>
              <w:pageBreakBefore w:val="0"/>
              <w:kinsoku/>
              <w:wordWrap/>
              <w:overflowPunct/>
              <w:topLinePunct w:val="0"/>
              <w:bidi w:val="0"/>
              <w:spacing w:line="360" w:lineRule="exact"/>
              <w:jc w:val="center"/>
              <w:rPr>
                <w:rFonts w:ascii="宋体" w:hAnsi="宋体" w:cs="宋体"/>
                <w:kern w:val="0"/>
                <w:sz w:val="18"/>
                <w:szCs w:val="18"/>
              </w:rPr>
            </w:pPr>
            <w:r>
              <w:rPr>
                <w:rFonts w:hint="eastAsia" w:ascii="宋体" w:hAnsi="宋体" w:cs="宋体"/>
                <w:color w:val="000000"/>
                <w:kern w:val="0"/>
                <w:sz w:val="18"/>
                <w:szCs w:val="18"/>
                <w:lang w:bidi="ar"/>
              </w:rPr>
              <w:t>32</w:t>
            </w:r>
          </w:p>
        </w:tc>
        <w:tc>
          <w:tcPr>
            <w:tcW w:w="452" w:type="dxa"/>
            <w:shd w:val="clear" w:color="auto" w:fill="auto"/>
            <w:vAlign w:val="center"/>
          </w:tcPr>
          <w:p w14:paraId="473D835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p>
        </w:tc>
        <w:tc>
          <w:tcPr>
            <w:tcW w:w="462" w:type="dxa"/>
            <w:shd w:val="clear" w:color="auto" w:fill="auto"/>
            <w:vAlign w:val="center"/>
          </w:tcPr>
          <w:p w14:paraId="6B16E028">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0F5DF19">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010EB1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600" w:type="dxa"/>
            <w:vMerge w:val="continue"/>
            <w:vAlign w:val="center"/>
          </w:tcPr>
          <w:p w14:paraId="4C389E5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bookmarkEnd w:id="37"/>
      <w:tr w14:paraId="3604A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D1BB215">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39" w:name="OLE_LINK13" w:colFirst="7" w:colLast="8"/>
          </w:p>
        </w:tc>
        <w:tc>
          <w:tcPr>
            <w:tcW w:w="419" w:type="dxa"/>
            <w:vMerge w:val="continue"/>
            <w:vAlign w:val="center"/>
          </w:tcPr>
          <w:p w14:paraId="0B241874">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1F5220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w:t>
            </w:r>
          </w:p>
        </w:tc>
        <w:tc>
          <w:tcPr>
            <w:tcW w:w="901" w:type="dxa"/>
            <w:shd w:val="clear" w:color="auto" w:fill="auto"/>
            <w:vAlign w:val="center"/>
          </w:tcPr>
          <w:p w14:paraId="50CA63B7">
            <w:pPr>
              <w:pageBreakBefore w:val="0"/>
              <w:widowControl/>
              <w:kinsoku/>
              <w:wordWrap/>
              <w:overflowPunct/>
              <w:topLinePunct w:val="0"/>
              <w:bidi w:val="0"/>
              <w:spacing w:line="360" w:lineRule="exact"/>
              <w:jc w:val="center"/>
              <w:rPr>
                <w:rFonts w:ascii="宋体" w:hAnsi="宋体" w:cs="宋体"/>
                <w:color w:val="000000" w:themeColor="text1"/>
                <w:kern w:val="0"/>
                <w:sz w:val="18"/>
                <w:szCs w:val="18"/>
                <w:lang w:eastAsia="en-US"/>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080319Z</w:t>
            </w:r>
          </w:p>
        </w:tc>
        <w:tc>
          <w:tcPr>
            <w:tcW w:w="2322" w:type="dxa"/>
            <w:shd w:val="clear" w:color="auto" w:fill="auto"/>
            <w:vAlign w:val="center"/>
          </w:tcPr>
          <w:p w14:paraId="532ED4E6">
            <w:pPr>
              <w:pageBreakBefore w:val="0"/>
              <w:widowControl/>
              <w:kinsoku/>
              <w:wordWrap/>
              <w:overflowPunct/>
              <w:topLinePunct w:val="0"/>
              <w:bidi w:val="0"/>
              <w:spacing w:line="360" w:lineRule="exact"/>
              <w:jc w:val="center"/>
              <w:rPr>
                <w:rFonts w:ascii="宋体" w:hAnsi="宋体" w:cs="宋体"/>
                <w:b w:val="0"/>
                <w:bCs w:val="0"/>
                <w:kern w:val="0"/>
                <w:sz w:val="18"/>
                <w:szCs w:val="18"/>
              </w:rPr>
            </w:pPr>
            <w:r>
              <w:rPr>
                <w:rFonts w:hint="eastAsia" w:ascii="宋体" w:hAnsi="宋体" w:cs="宋体"/>
                <w:b w:val="0"/>
                <w:bCs w:val="0"/>
                <w:kern w:val="0"/>
                <w:sz w:val="18"/>
                <w:szCs w:val="18"/>
              </w:rPr>
              <w:t>儿歌弹唱</w:t>
            </w:r>
          </w:p>
        </w:tc>
        <w:tc>
          <w:tcPr>
            <w:tcW w:w="437" w:type="dxa"/>
            <w:shd w:val="clear" w:color="auto" w:fill="auto"/>
            <w:vAlign w:val="center"/>
          </w:tcPr>
          <w:p w14:paraId="6424C8F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57D8B0E">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6DFE1F31">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3B8ADBD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303E8AAA">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76C59EC3">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7040C087">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B4CFEAA">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44463DC7">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62" w:type="dxa"/>
            <w:shd w:val="clear" w:color="auto" w:fill="auto"/>
            <w:vAlign w:val="center"/>
          </w:tcPr>
          <w:p w14:paraId="624AE9A7">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F8E5E83">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101B018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Merge w:val="restart"/>
            <w:vAlign w:val="center"/>
          </w:tcPr>
          <w:p w14:paraId="39F74C95">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六选三</w:t>
            </w:r>
          </w:p>
        </w:tc>
      </w:tr>
      <w:bookmarkEnd w:id="39"/>
      <w:tr w14:paraId="5DF7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0C09B62">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2D8E6E03">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69BCDB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901" w:type="dxa"/>
            <w:shd w:val="clear" w:color="auto" w:fill="auto"/>
            <w:vAlign w:val="center"/>
          </w:tcPr>
          <w:p w14:paraId="6C6DD00F">
            <w:pPr>
              <w:pageBreakBefore w:val="0"/>
              <w:widowControl/>
              <w:kinsoku/>
              <w:wordWrap/>
              <w:overflowPunct/>
              <w:topLinePunct w:val="0"/>
              <w:bidi w:val="0"/>
              <w:spacing w:line="360" w:lineRule="exact"/>
              <w:jc w:val="center"/>
              <w:rPr>
                <w:rFonts w:ascii="宋体" w:hAnsi="宋体" w:cs="宋体"/>
                <w:color w:val="000000" w:themeColor="text1"/>
                <w:kern w:val="0"/>
                <w:sz w:val="18"/>
                <w:szCs w:val="18"/>
                <w:lang w:eastAsia="en-US"/>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080320Z</w:t>
            </w:r>
          </w:p>
        </w:tc>
        <w:tc>
          <w:tcPr>
            <w:tcW w:w="2322" w:type="dxa"/>
            <w:shd w:val="clear" w:color="auto" w:fill="auto"/>
            <w:vAlign w:val="center"/>
          </w:tcPr>
          <w:p w14:paraId="2A7C74F1">
            <w:pPr>
              <w:pageBreakBefore w:val="0"/>
              <w:widowControl/>
              <w:kinsoku/>
              <w:wordWrap/>
              <w:overflowPunct/>
              <w:topLinePunct w:val="0"/>
              <w:bidi w:val="0"/>
              <w:spacing w:line="360" w:lineRule="exact"/>
              <w:jc w:val="center"/>
              <w:rPr>
                <w:rFonts w:ascii="宋体" w:hAnsi="宋体" w:cs="宋体"/>
                <w:b w:val="0"/>
                <w:bCs w:val="0"/>
                <w:kern w:val="0"/>
                <w:sz w:val="18"/>
                <w:szCs w:val="18"/>
              </w:rPr>
            </w:pPr>
            <w:bookmarkStart w:id="40" w:name="OLE_LINK8"/>
            <w:r>
              <w:rPr>
                <w:rFonts w:hint="eastAsia" w:ascii="宋体" w:hAnsi="宋体" w:cs="宋体"/>
                <w:b w:val="0"/>
                <w:bCs w:val="0"/>
                <w:kern w:val="0"/>
                <w:sz w:val="18"/>
                <w:szCs w:val="18"/>
              </w:rPr>
              <w:t>家庭与社区教育</w:t>
            </w:r>
            <w:bookmarkEnd w:id="40"/>
          </w:p>
        </w:tc>
        <w:tc>
          <w:tcPr>
            <w:tcW w:w="437" w:type="dxa"/>
            <w:shd w:val="clear" w:color="auto" w:fill="auto"/>
            <w:vAlign w:val="center"/>
          </w:tcPr>
          <w:p w14:paraId="022F129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6B6CF55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2363697B">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2E61C43E">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2A281D32">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142A607A">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391CA567">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D9EA13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22C217F2">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62" w:type="dxa"/>
            <w:shd w:val="clear" w:color="auto" w:fill="auto"/>
            <w:vAlign w:val="center"/>
          </w:tcPr>
          <w:p w14:paraId="35A2C6D8">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6B297F6">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40AD967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①</w:t>
            </w:r>
          </w:p>
        </w:tc>
        <w:tc>
          <w:tcPr>
            <w:tcW w:w="600" w:type="dxa"/>
            <w:vMerge w:val="continue"/>
            <w:vAlign w:val="center"/>
          </w:tcPr>
          <w:p w14:paraId="68B7516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B91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4EE87E0">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4225BC52">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6948D8B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w:t>
            </w:r>
          </w:p>
        </w:tc>
        <w:tc>
          <w:tcPr>
            <w:tcW w:w="901" w:type="dxa"/>
            <w:shd w:val="clear" w:color="auto" w:fill="auto"/>
            <w:vAlign w:val="center"/>
          </w:tcPr>
          <w:p w14:paraId="0E6B47D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080321Z</w:t>
            </w:r>
          </w:p>
        </w:tc>
        <w:tc>
          <w:tcPr>
            <w:tcW w:w="2322" w:type="dxa"/>
            <w:shd w:val="clear" w:color="auto" w:fill="auto"/>
            <w:vAlign w:val="center"/>
          </w:tcPr>
          <w:p w14:paraId="07917445">
            <w:pPr>
              <w:pageBreakBefore w:val="0"/>
              <w:widowControl/>
              <w:kinsoku/>
              <w:wordWrap/>
              <w:overflowPunct/>
              <w:topLinePunct w:val="0"/>
              <w:bidi w:val="0"/>
              <w:spacing w:line="360" w:lineRule="exact"/>
              <w:jc w:val="center"/>
              <w:rPr>
                <w:rFonts w:ascii="宋体" w:hAnsi="宋体" w:cs="宋体"/>
                <w:b w:val="0"/>
                <w:bCs w:val="0"/>
                <w:kern w:val="0"/>
                <w:sz w:val="18"/>
                <w:szCs w:val="18"/>
              </w:rPr>
            </w:pPr>
            <w:r>
              <w:rPr>
                <w:rFonts w:hint="eastAsia" w:ascii="宋体" w:hAnsi="宋体" w:cs="宋体"/>
                <w:b w:val="0"/>
                <w:bCs w:val="0"/>
                <w:color w:val="000000" w:themeColor="text1"/>
                <w:kern w:val="0"/>
                <w:sz w:val="18"/>
                <w:szCs w:val="18"/>
                <w14:textFill>
                  <w14:solidFill>
                    <w14:schemeClr w14:val="tx1"/>
                  </w14:solidFill>
                </w14:textFill>
              </w:rPr>
              <w:t>奥尔夫音乐教学法</w:t>
            </w:r>
          </w:p>
        </w:tc>
        <w:tc>
          <w:tcPr>
            <w:tcW w:w="437" w:type="dxa"/>
            <w:shd w:val="clear" w:color="auto" w:fill="auto"/>
            <w:vAlign w:val="center"/>
          </w:tcPr>
          <w:p w14:paraId="2384C5A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3675C43C">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2E207929">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6E9E79B1">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62102C21">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4DF7E3AF">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090C5510">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49B0527F">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1CF59F69">
            <w:pPr>
              <w:pageBreakBefore w:val="0"/>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462" w:type="dxa"/>
            <w:shd w:val="clear" w:color="auto" w:fill="auto"/>
            <w:vAlign w:val="center"/>
          </w:tcPr>
          <w:p w14:paraId="5E187D0D">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D516308">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4030E36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Merge w:val="continue"/>
            <w:vAlign w:val="center"/>
          </w:tcPr>
          <w:p w14:paraId="0F5A5FB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700B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06B7226">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10DA2854">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54B8CD1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901" w:type="dxa"/>
            <w:shd w:val="clear" w:color="auto" w:fill="auto"/>
            <w:vAlign w:val="center"/>
          </w:tcPr>
          <w:p w14:paraId="2857FDC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080322Z</w:t>
            </w:r>
          </w:p>
        </w:tc>
        <w:tc>
          <w:tcPr>
            <w:tcW w:w="2322" w:type="dxa"/>
            <w:shd w:val="clear" w:color="auto" w:fill="auto"/>
            <w:vAlign w:val="center"/>
          </w:tcPr>
          <w:p w14:paraId="4BA6BB60">
            <w:pPr>
              <w:pageBreakBefore w:val="0"/>
              <w:widowControl/>
              <w:kinsoku/>
              <w:wordWrap/>
              <w:overflowPunct/>
              <w:topLinePunct w:val="0"/>
              <w:bidi w:val="0"/>
              <w:spacing w:line="360" w:lineRule="exact"/>
              <w:jc w:val="center"/>
              <w:rPr>
                <w:rFonts w:ascii="宋体" w:hAnsi="宋体" w:cs="宋体"/>
                <w:b w:val="0"/>
                <w:bCs w:val="0"/>
                <w:kern w:val="0"/>
                <w:sz w:val="18"/>
                <w:szCs w:val="18"/>
              </w:rPr>
            </w:pPr>
            <w:bookmarkStart w:id="41" w:name="OLE_LINK7"/>
            <w:r>
              <w:rPr>
                <w:rFonts w:hint="eastAsia" w:ascii="宋体" w:hAnsi="宋体" w:cs="宋体"/>
                <w:b w:val="0"/>
                <w:bCs w:val="0"/>
                <w:kern w:val="0"/>
                <w:sz w:val="18"/>
                <w:szCs w:val="18"/>
              </w:rPr>
              <w:t>0-3岁婴幼儿保育与教育</w:t>
            </w:r>
            <w:bookmarkEnd w:id="41"/>
          </w:p>
        </w:tc>
        <w:tc>
          <w:tcPr>
            <w:tcW w:w="437" w:type="dxa"/>
            <w:shd w:val="clear" w:color="auto" w:fill="auto"/>
            <w:vAlign w:val="center"/>
          </w:tcPr>
          <w:p w14:paraId="06A44B6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0007B5A">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4305CEB5">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6C34B18C">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65715823">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64E2804F">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4F2FFB33">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7A3C97B6">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2AF80F3A">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kern w:val="0"/>
                <w:sz w:val="18"/>
                <w:szCs w:val="18"/>
                <w:lang w:bidi="ar"/>
              </w:rPr>
              <w:t>32</w:t>
            </w:r>
          </w:p>
        </w:tc>
        <w:tc>
          <w:tcPr>
            <w:tcW w:w="462" w:type="dxa"/>
            <w:shd w:val="clear" w:color="auto" w:fill="auto"/>
            <w:vAlign w:val="center"/>
          </w:tcPr>
          <w:p w14:paraId="3937C8D8">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0AFBB6E">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11C79C9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⑦</w:t>
            </w:r>
          </w:p>
        </w:tc>
        <w:tc>
          <w:tcPr>
            <w:tcW w:w="600" w:type="dxa"/>
            <w:vMerge w:val="continue"/>
            <w:vAlign w:val="center"/>
          </w:tcPr>
          <w:p w14:paraId="29DDD2E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3ED2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61322BC">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42" w:name="OLE_LINK25" w:colFirst="5" w:colLast="12"/>
            <w:bookmarkStart w:id="43" w:name="OLE_LINK19" w:colFirst="5" w:colLast="13"/>
            <w:bookmarkStart w:id="44" w:name="OLE_LINK21" w:colFirst="5" w:colLast="8"/>
          </w:p>
        </w:tc>
        <w:tc>
          <w:tcPr>
            <w:tcW w:w="419" w:type="dxa"/>
            <w:vMerge w:val="continue"/>
            <w:vAlign w:val="center"/>
          </w:tcPr>
          <w:p w14:paraId="051879FF">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2A17A5CC">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w:t>
            </w:r>
          </w:p>
        </w:tc>
        <w:tc>
          <w:tcPr>
            <w:tcW w:w="901" w:type="dxa"/>
            <w:shd w:val="clear" w:color="auto" w:fill="auto"/>
            <w:vAlign w:val="center"/>
          </w:tcPr>
          <w:p w14:paraId="11E6F64F">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080323Z</w:t>
            </w:r>
          </w:p>
        </w:tc>
        <w:tc>
          <w:tcPr>
            <w:tcW w:w="2322" w:type="dxa"/>
            <w:shd w:val="clear" w:color="auto" w:fill="auto"/>
            <w:vAlign w:val="center"/>
          </w:tcPr>
          <w:p w14:paraId="7B6D3100">
            <w:pPr>
              <w:pageBreakBefore w:val="0"/>
              <w:widowControl/>
              <w:kinsoku/>
              <w:wordWrap/>
              <w:overflowPunct/>
              <w:topLinePunct w:val="0"/>
              <w:bidi w:val="0"/>
              <w:spacing w:line="360" w:lineRule="exact"/>
              <w:jc w:val="center"/>
              <w:rPr>
                <w:rFonts w:hint="default" w:ascii="宋体" w:hAnsi="宋体" w:eastAsia="宋体" w:cs="宋体"/>
                <w:b w:val="0"/>
                <w:bCs w:val="0"/>
                <w:kern w:val="0"/>
                <w:sz w:val="18"/>
                <w:szCs w:val="18"/>
                <w:lang w:val="en-US" w:eastAsia="zh-CN"/>
              </w:rPr>
            </w:pPr>
            <w:r>
              <w:rPr>
                <w:rFonts w:hint="eastAsia" w:ascii="宋体" w:hAnsi="宋体" w:cs="宋体"/>
                <w:b w:val="0"/>
                <w:bCs w:val="0"/>
                <w:kern w:val="0"/>
                <w:sz w:val="18"/>
                <w:szCs w:val="18"/>
                <w:lang w:val="en-US" w:eastAsia="zh-CN"/>
              </w:rPr>
              <w:t>学前教育政策法规</w:t>
            </w:r>
          </w:p>
        </w:tc>
        <w:tc>
          <w:tcPr>
            <w:tcW w:w="437" w:type="dxa"/>
            <w:shd w:val="clear" w:color="auto" w:fill="auto"/>
            <w:vAlign w:val="center"/>
          </w:tcPr>
          <w:p w14:paraId="60D5B54B">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45CBC180">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0020985F">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5EEC0535">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19C241CC">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67A6AA20">
            <w:pPr>
              <w:pageBreakBefore w:val="0"/>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440" w:type="dxa"/>
            <w:shd w:val="clear" w:color="auto" w:fill="auto"/>
            <w:vAlign w:val="center"/>
          </w:tcPr>
          <w:p w14:paraId="30291B6A">
            <w:pPr>
              <w:pageBreakBefore w:val="0"/>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450" w:type="dxa"/>
            <w:shd w:val="clear" w:color="auto" w:fill="auto"/>
            <w:vAlign w:val="center"/>
          </w:tcPr>
          <w:p w14:paraId="2B010E0B">
            <w:pPr>
              <w:pageBreakBefore w:val="0"/>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452" w:type="dxa"/>
            <w:shd w:val="clear" w:color="auto" w:fill="auto"/>
            <w:vAlign w:val="center"/>
          </w:tcPr>
          <w:p w14:paraId="082A2E6F">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32</w:t>
            </w:r>
          </w:p>
        </w:tc>
        <w:tc>
          <w:tcPr>
            <w:tcW w:w="462" w:type="dxa"/>
            <w:shd w:val="clear" w:color="auto" w:fill="auto"/>
            <w:vAlign w:val="center"/>
          </w:tcPr>
          <w:p w14:paraId="5CD3C376">
            <w:pPr>
              <w:pageBreakBefore w:val="0"/>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8B2A7FF">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1FBB477E">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Merge w:val="continue"/>
            <w:vAlign w:val="center"/>
          </w:tcPr>
          <w:p w14:paraId="0090CB0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C46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08A0D0D">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A2CA733">
            <w:pPr>
              <w:pageBreakBefore w:val="0"/>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4F69152C">
            <w:pPr>
              <w:pageBreakBefore w:val="0"/>
              <w:widowControl/>
              <w:kinsoku/>
              <w:wordWrap/>
              <w:overflowPunct/>
              <w:topLinePunct w:val="0"/>
              <w:bidi w:val="0"/>
              <w:spacing w:line="360" w:lineRule="exact"/>
              <w:jc w:val="center"/>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901" w:type="dxa"/>
            <w:shd w:val="clear" w:color="auto" w:fill="auto"/>
            <w:vAlign w:val="center"/>
          </w:tcPr>
          <w:p w14:paraId="55BEF0AB">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080324Z</w:t>
            </w:r>
          </w:p>
        </w:tc>
        <w:tc>
          <w:tcPr>
            <w:tcW w:w="2322" w:type="dxa"/>
            <w:shd w:val="clear" w:color="auto" w:fill="auto"/>
            <w:vAlign w:val="center"/>
          </w:tcPr>
          <w:p w14:paraId="187EF6B6">
            <w:pPr>
              <w:pageBreakBefore w:val="0"/>
              <w:widowControl/>
              <w:kinsoku/>
              <w:wordWrap/>
              <w:overflowPunct/>
              <w:topLinePunct w:val="0"/>
              <w:bidi w:val="0"/>
              <w:spacing w:line="360" w:lineRule="exact"/>
              <w:jc w:val="center"/>
              <w:rPr>
                <w:rFonts w:hint="default" w:ascii="宋体" w:hAnsi="宋体" w:cs="宋体"/>
                <w:b w:val="0"/>
                <w:bCs w:val="0"/>
                <w:kern w:val="0"/>
                <w:sz w:val="18"/>
                <w:szCs w:val="18"/>
                <w:lang w:val="en-US" w:eastAsia="zh-CN"/>
              </w:rPr>
            </w:pPr>
            <w:r>
              <w:rPr>
                <w:rFonts w:hint="eastAsia" w:ascii="宋体" w:hAnsi="宋体" w:cs="宋体"/>
                <w:b w:val="0"/>
                <w:bCs w:val="0"/>
                <w:kern w:val="0"/>
                <w:sz w:val="18"/>
                <w:szCs w:val="18"/>
                <w:lang w:val="en-US" w:eastAsia="zh-CN"/>
              </w:rPr>
              <w:t>学前儿童融合教育</w:t>
            </w:r>
          </w:p>
        </w:tc>
        <w:tc>
          <w:tcPr>
            <w:tcW w:w="437" w:type="dxa"/>
            <w:shd w:val="clear" w:color="auto" w:fill="auto"/>
            <w:vAlign w:val="center"/>
          </w:tcPr>
          <w:p w14:paraId="6F925A58">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B</w:t>
            </w:r>
          </w:p>
        </w:tc>
        <w:tc>
          <w:tcPr>
            <w:tcW w:w="490" w:type="dxa"/>
            <w:shd w:val="clear" w:color="auto" w:fill="auto"/>
            <w:vAlign w:val="center"/>
          </w:tcPr>
          <w:p w14:paraId="56450CCC">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32</w:t>
            </w:r>
          </w:p>
        </w:tc>
        <w:tc>
          <w:tcPr>
            <w:tcW w:w="573" w:type="dxa"/>
            <w:shd w:val="clear" w:color="auto" w:fill="auto"/>
            <w:vAlign w:val="center"/>
          </w:tcPr>
          <w:p w14:paraId="73F7D365">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16</w:t>
            </w:r>
          </w:p>
        </w:tc>
        <w:tc>
          <w:tcPr>
            <w:tcW w:w="509" w:type="dxa"/>
            <w:shd w:val="clear" w:color="auto" w:fill="auto"/>
            <w:vAlign w:val="center"/>
          </w:tcPr>
          <w:p w14:paraId="381B36E2">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16</w:t>
            </w:r>
          </w:p>
        </w:tc>
        <w:tc>
          <w:tcPr>
            <w:tcW w:w="427" w:type="dxa"/>
            <w:shd w:val="clear" w:color="auto" w:fill="auto"/>
            <w:vAlign w:val="center"/>
          </w:tcPr>
          <w:p w14:paraId="770EB240">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2</w:t>
            </w:r>
          </w:p>
        </w:tc>
        <w:tc>
          <w:tcPr>
            <w:tcW w:w="437" w:type="dxa"/>
            <w:shd w:val="clear" w:color="auto" w:fill="auto"/>
            <w:vAlign w:val="center"/>
          </w:tcPr>
          <w:p w14:paraId="65B55BE2">
            <w:pPr>
              <w:pageBreakBefore w:val="0"/>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440" w:type="dxa"/>
            <w:shd w:val="clear" w:color="auto" w:fill="auto"/>
            <w:vAlign w:val="center"/>
          </w:tcPr>
          <w:p w14:paraId="54E6169F">
            <w:pPr>
              <w:pageBreakBefore w:val="0"/>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450" w:type="dxa"/>
            <w:shd w:val="clear" w:color="auto" w:fill="auto"/>
            <w:vAlign w:val="center"/>
          </w:tcPr>
          <w:p w14:paraId="5F5BE559">
            <w:pPr>
              <w:pageBreakBefore w:val="0"/>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452" w:type="dxa"/>
            <w:shd w:val="clear" w:color="auto" w:fill="auto"/>
            <w:vAlign w:val="center"/>
          </w:tcPr>
          <w:p w14:paraId="32486717">
            <w:pPr>
              <w:pageBreakBefore w:val="0"/>
              <w:widowControl/>
              <w:kinsoku/>
              <w:wordWrap/>
              <w:overflowPunct/>
              <w:topLinePunct w:val="0"/>
              <w:bidi w:val="0"/>
              <w:spacing w:line="360" w:lineRule="exact"/>
              <w:jc w:val="center"/>
              <w:textAlignment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kern w:val="0"/>
                <w:sz w:val="18"/>
                <w:szCs w:val="18"/>
                <w:lang w:bidi="ar"/>
              </w:rPr>
              <w:t>32</w:t>
            </w:r>
          </w:p>
        </w:tc>
        <w:tc>
          <w:tcPr>
            <w:tcW w:w="462" w:type="dxa"/>
            <w:shd w:val="clear" w:color="auto" w:fill="auto"/>
            <w:vAlign w:val="center"/>
          </w:tcPr>
          <w:p w14:paraId="218C67EA">
            <w:pPr>
              <w:pageBreakBefore w:val="0"/>
              <w:kinsoku/>
              <w:wordWrap/>
              <w:overflowPunct/>
              <w:topLinePunct w:val="0"/>
              <w:bidi w:val="0"/>
              <w:spacing w:line="360" w:lineRule="exact"/>
              <w:jc w:val="center"/>
              <w:rPr>
                <w:rFonts w:ascii="宋体" w:hAnsi="宋体" w:eastAsia="宋体" w:cs="宋体"/>
                <w:color w:val="000000" w:themeColor="text1"/>
                <w:kern w:val="0"/>
                <w:sz w:val="18"/>
                <w:szCs w:val="18"/>
                <w:lang w:val="en-US" w:eastAsia="zh-CN" w:bidi="ar-SA"/>
                <w14:textFill>
                  <w14:solidFill>
                    <w14:schemeClr w14:val="tx1"/>
                  </w14:solidFill>
                </w14:textFill>
              </w:rPr>
            </w:pPr>
          </w:p>
        </w:tc>
        <w:tc>
          <w:tcPr>
            <w:tcW w:w="450" w:type="dxa"/>
            <w:shd w:val="clear" w:color="auto" w:fill="auto"/>
            <w:vAlign w:val="center"/>
          </w:tcPr>
          <w:p w14:paraId="78CCC0FA">
            <w:pPr>
              <w:pageBreakBefore w:val="0"/>
              <w:widowControl/>
              <w:kinsoku/>
              <w:wordWrap/>
              <w:overflowPunct/>
              <w:topLinePunct w:val="0"/>
              <w:bidi w:val="0"/>
              <w:spacing w:line="360" w:lineRule="exact"/>
              <w:jc w:val="center"/>
              <w:textAlignment w:val="center"/>
              <w:rPr>
                <w:rFonts w:ascii="宋体" w:hAnsi="宋体" w:cs="宋体"/>
                <w:color w:val="000000" w:themeColor="text1"/>
                <w:kern w:val="0"/>
                <w:sz w:val="18"/>
                <w:szCs w:val="18"/>
                <w14:textFill>
                  <w14:solidFill>
                    <w14:schemeClr w14:val="tx1"/>
                  </w14:solidFill>
                </w14:textFill>
              </w:rPr>
            </w:pPr>
          </w:p>
        </w:tc>
        <w:tc>
          <w:tcPr>
            <w:tcW w:w="474" w:type="dxa"/>
            <w:shd w:val="clear" w:color="auto" w:fill="auto"/>
            <w:vAlign w:val="center"/>
          </w:tcPr>
          <w:p w14:paraId="78C2D618">
            <w:pPr>
              <w:pageBreakBefore w:val="0"/>
              <w:widowControl/>
              <w:kinsoku/>
              <w:wordWrap/>
              <w:overflowPunct/>
              <w:topLinePunct w:val="0"/>
              <w:bidi w:val="0"/>
              <w:spacing w:line="360" w:lineRule="exact"/>
              <w:jc w:val="center"/>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④</w:t>
            </w:r>
          </w:p>
        </w:tc>
        <w:tc>
          <w:tcPr>
            <w:tcW w:w="600" w:type="dxa"/>
            <w:vMerge w:val="continue"/>
            <w:vAlign w:val="center"/>
          </w:tcPr>
          <w:p w14:paraId="2A737AC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2108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321E8F4">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B3CA1B0">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77EC31F3">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322" w:type="dxa"/>
            <w:vAlign w:val="center"/>
          </w:tcPr>
          <w:p w14:paraId="5F58E626">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共5门</w:t>
            </w:r>
          </w:p>
        </w:tc>
        <w:tc>
          <w:tcPr>
            <w:tcW w:w="437" w:type="dxa"/>
            <w:vAlign w:val="center"/>
          </w:tcPr>
          <w:p w14:paraId="6CF9AD01">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shd w:val="clear" w:color="auto" w:fill="auto"/>
            <w:vAlign w:val="center"/>
          </w:tcPr>
          <w:p w14:paraId="5DC5BB14">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160</w:t>
            </w:r>
          </w:p>
        </w:tc>
        <w:tc>
          <w:tcPr>
            <w:tcW w:w="573" w:type="dxa"/>
            <w:shd w:val="clear" w:color="auto" w:fill="auto"/>
            <w:vAlign w:val="center"/>
          </w:tcPr>
          <w:p w14:paraId="684C8447">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80</w:t>
            </w:r>
          </w:p>
        </w:tc>
        <w:tc>
          <w:tcPr>
            <w:tcW w:w="509" w:type="dxa"/>
            <w:shd w:val="clear" w:color="auto" w:fill="auto"/>
            <w:vAlign w:val="center"/>
          </w:tcPr>
          <w:p w14:paraId="2BCC4446">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80</w:t>
            </w:r>
          </w:p>
        </w:tc>
        <w:tc>
          <w:tcPr>
            <w:tcW w:w="427" w:type="dxa"/>
            <w:shd w:val="clear" w:color="auto" w:fill="auto"/>
            <w:vAlign w:val="center"/>
          </w:tcPr>
          <w:p w14:paraId="09C68200">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10</w:t>
            </w:r>
          </w:p>
        </w:tc>
        <w:tc>
          <w:tcPr>
            <w:tcW w:w="437" w:type="dxa"/>
            <w:shd w:val="clear" w:color="auto" w:fill="auto"/>
            <w:vAlign w:val="center"/>
          </w:tcPr>
          <w:p w14:paraId="4967B8CF">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32</w:t>
            </w:r>
          </w:p>
        </w:tc>
        <w:tc>
          <w:tcPr>
            <w:tcW w:w="440" w:type="dxa"/>
            <w:shd w:val="clear" w:color="auto" w:fill="auto"/>
            <w:vAlign w:val="center"/>
          </w:tcPr>
          <w:p w14:paraId="553B1055">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0</w:t>
            </w:r>
          </w:p>
        </w:tc>
        <w:tc>
          <w:tcPr>
            <w:tcW w:w="450" w:type="dxa"/>
            <w:shd w:val="clear" w:color="auto" w:fill="auto"/>
            <w:vAlign w:val="center"/>
          </w:tcPr>
          <w:p w14:paraId="458FD555">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32</w:t>
            </w:r>
          </w:p>
        </w:tc>
        <w:tc>
          <w:tcPr>
            <w:tcW w:w="452" w:type="dxa"/>
            <w:shd w:val="clear" w:color="auto" w:fill="auto"/>
            <w:vAlign w:val="center"/>
          </w:tcPr>
          <w:p w14:paraId="3519AA73">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96</w:t>
            </w:r>
          </w:p>
        </w:tc>
        <w:tc>
          <w:tcPr>
            <w:tcW w:w="462" w:type="dxa"/>
            <w:shd w:val="clear" w:color="auto" w:fill="auto"/>
            <w:vAlign w:val="center"/>
          </w:tcPr>
          <w:p w14:paraId="0EEFD1DD">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color w:val="000000"/>
                <w:kern w:val="0"/>
                <w:sz w:val="18"/>
                <w:szCs w:val="18"/>
                <w:lang w:bidi="ar"/>
              </w:rPr>
              <w:t>0</w:t>
            </w:r>
          </w:p>
        </w:tc>
        <w:tc>
          <w:tcPr>
            <w:tcW w:w="450" w:type="dxa"/>
            <w:shd w:val="clear" w:color="auto" w:fill="auto"/>
            <w:vAlign w:val="center"/>
          </w:tcPr>
          <w:p w14:paraId="2F246B57">
            <w:pPr>
              <w:pageBreakBefore w:val="0"/>
              <w:widowControl/>
              <w:kinsoku/>
              <w:wordWrap/>
              <w:overflowPunct/>
              <w:topLinePunct w:val="0"/>
              <w:bidi w:val="0"/>
              <w:spacing w:line="360" w:lineRule="exact"/>
              <w:jc w:val="center"/>
              <w:textAlignment w:val="center"/>
              <w:rPr>
                <w:rFonts w:ascii="宋体" w:hAnsi="宋体" w:cs="宋体"/>
                <w:b/>
                <w:bCs/>
                <w:kern w:val="0"/>
                <w:sz w:val="18"/>
                <w:szCs w:val="18"/>
              </w:rPr>
            </w:pPr>
            <w:r>
              <w:rPr>
                <w:rFonts w:hint="eastAsia" w:ascii="宋体" w:hAnsi="宋体" w:cs="宋体"/>
                <w:b/>
                <w:bCs/>
                <w:kern w:val="0"/>
                <w:sz w:val="18"/>
                <w:szCs w:val="18"/>
              </w:rPr>
              <w:t>0</w:t>
            </w:r>
          </w:p>
        </w:tc>
        <w:tc>
          <w:tcPr>
            <w:tcW w:w="474" w:type="dxa"/>
            <w:vAlign w:val="center"/>
          </w:tcPr>
          <w:p w14:paraId="28BA06E5">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600" w:type="dxa"/>
            <w:vAlign w:val="center"/>
          </w:tcPr>
          <w:p w14:paraId="63FBCAA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bookmarkEnd w:id="42"/>
      <w:bookmarkEnd w:id="43"/>
      <w:bookmarkEnd w:id="44"/>
      <w:tr w14:paraId="6A01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restart"/>
            <w:vAlign w:val="center"/>
          </w:tcPr>
          <w:p w14:paraId="72FC17C6">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restart"/>
            <w:vAlign w:val="center"/>
          </w:tcPr>
          <w:p w14:paraId="5FB19E28">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专业实践课</w:t>
            </w:r>
          </w:p>
        </w:tc>
        <w:tc>
          <w:tcPr>
            <w:tcW w:w="396" w:type="dxa"/>
            <w:shd w:val="clear" w:color="auto" w:fill="auto"/>
            <w:vAlign w:val="center"/>
          </w:tcPr>
          <w:p w14:paraId="1B13B17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1</w:t>
            </w:r>
          </w:p>
        </w:tc>
        <w:tc>
          <w:tcPr>
            <w:tcW w:w="901" w:type="dxa"/>
            <w:shd w:val="clear" w:color="auto" w:fill="auto"/>
            <w:vAlign w:val="center"/>
          </w:tcPr>
          <w:p w14:paraId="294E5C6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08032</w:t>
            </w:r>
            <w:r>
              <w:rPr>
                <w:rFonts w:hint="eastAsia" w:ascii="宋体" w:hAnsi="宋体" w:cs="宋体"/>
                <w:color w:val="000000" w:themeColor="text1"/>
                <w:kern w:val="0"/>
                <w:sz w:val="18"/>
                <w:szCs w:val="18"/>
                <w:lang w:val="en-US" w:eastAsia="zh-CN"/>
                <w14:textFill>
                  <w14:solidFill>
                    <w14:schemeClr w14:val="tx1"/>
                  </w14:solidFill>
                </w14:textFill>
              </w:rPr>
              <w:t>5</w:t>
            </w:r>
            <w:r>
              <w:rPr>
                <w:rFonts w:hint="eastAsia" w:ascii="宋体" w:hAnsi="宋体" w:cs="宋体"/>
                <w:color w:val="000000" w:themeColor="text1"/>
                <w:kern w:val="0"/>
                <w:sz w:val="18"/>
                <w:szCs w:val="18"/>
                <w14:textFill>
                  <w14:solidFill>
                    <w14:schemeClr w14:val="tx1"/>
                  </w14:solidFill>
                </w14:textFill>
              </w:rPr>
              <w:t>Z</w:t>
            </w:r>
          </w:p>
        </w:tc>
        <w:tc>
          <w:tcPr>
            <w:tcW w:w="2322" w:type="dxa"/>
            <w:shd w:val="clear" w:color="auto" w:fill="auto"/>
            <w:vAlign w:val="center"/>
          </w:tcPr>
          <w:p w14:paraId="171C300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岗位实习</w:t>
            </w:r>
          </w:p>
        </w:tc>
        <w:tc>
          <w:tcPr>
            <w:tcW w:w="437" w:type="dxa"/>
            <w:vAlign w:val="center"/>
          </w:tcPr>
          <w:p w14:paraId="0185C8E0">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C</w:t>
            </w:r>
          </w:p>
        </w:tc>
        <w:tc>
          <w:tcPr>
            <w:tcW w:w="490" w:type="dxa"/>
            <w:shd w:val="clear" w:color="auto" w:fill="auto"/>
            <w:vAlign w:val="center"/>
          </w:tcPr>
          <w:p w14:paraId="5C5E08BF">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676</w:t>
            </w:r>
          </w:p>
        </w:tc>
        <w:tc>
          <w:tcPr>
            <w:tcW w:w="573" w:type="dxa"/>
            <w:shd w:val="clear" w:color="auto" w:fill="auto"/>
            <w:vAlign w:val="center"/>
          </w:tcPr>
          <w:p w14:paraId="4785F895">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09" w:type="dxa"/>
            <w:shd w:val="clear" w:color="auto" w:fill="auto"/>
            <w:vAlign w:val="center"/>
          </w:tcPr>
          <w:p w14:paraId="472702EE">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676</w:t>
            </w:r>
          </w:p>
        </w:tc>
        <w:tc>
          <w:tcPr>
            <w:tcW w:w="427" w:type="dxa"/>
            <w:shd w:val="clear" w:color="auto" w:fill="auto"/>
            <w:vAlign w:val="center"/>
          </w:tcPr>
          <w:p w14:paraId="29B0F6C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26</w:t>
            </w:r>
          </w:p>
        </w:tc>
        <w:tc>
          <w:tcPr>
            <w:tcW w:w="437" w:type="dxa"/>
            <w:shd w:val="clear" w:color="auto" w:fill="auto"/>
            <w:vAlign w:val="center"/>
          </w:tcPr>
          <w:p w14:paraId="2259C31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53C6BDC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92EE92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71DBE22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3F39099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18W</w:t>
            </w:r>
          </w:p>
        </w:tc>
        <w:tc>
          <w:tcPr>
            <w:tcW w:w="450" w:type="dxa"/>
            <w:shd w:val="clear" w:color="auto" w:fill="auto"/>
            <w:vAlign w:val="center"/>
          </w:tcPr>
          <w:p w14:paraId="391903D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w:t>
            </w:r>
          </w:p>
        </w:tc>
        <w:tc>
          <w:tcPr>
            <w:tcW w:w="474" w:type="dxa"/>
            <w:shd w:val="clear" w:color="auto" w:fill="auto"/>
            <w:vAlign w:val="center"/>
          </w:tcPr>
          <w:p w14:paraId="3DF3EB8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⑧</w:t>
            </w:r>
          </w:p>
        </w:tc>
        <w:tc>
          <w:tcPr>
            <w:tcW w:w="600" w:type="dxa"/>
            <w:vAlign w:val="center"/>
          </w:tcPr>
          <w:p w14:paraId="2BF2B4C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0802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44B84B4B">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419" w:type="dxa"/>
            <w:vMerge w:val="continue"/>
            <w:vAlign w:val="center"/>
          </w:tcPr>
          <w:p w14:paraId="5B7CFD22">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shd w:val="clear" w:color="auto" w:fill="auto"/>
            <w:vAlign w:val="center"/>
          </w:tcPr>
          <w:p w14:paraId="04C4B84C">
            <w:pPr>
              <w:pageBreakBefore w:val="0"/>
              <w:widowControl/>
              <w:kinsoku/>
              <w:wordWrap/>
              <w:overflowPunct/>
              <w:topLinePunct w:val="0"/>
              <w:bidi w:val="0"/>
              <w:spacing w:line="360" w:lineRule="exact"/>
              <w:jc w:val="center"/>
              <w:rPr>
                <w:rFonts w:ascii="宋体" w:hAnsi="宋体" w:cs="宋体"/>
                <w:bCs/>
                <w:color w:val="000000" w:themeColor="text1"/>
                <w:sz w:val="18"/>
                <w:szCs w:val="18"/>
                <w14:textFill>
                  <w14:solidFill>
                    <w14:schemeClr w14:val="tx1"/>
                  </w14:solidFill>
                </w14:textFill>
              </w:rPr>
            </w:pPr>
            <w:r>
              <w:rPr>
                <w:rFonts w:hint="eastAsia" w:ascii="宋体" w:hAnsi="宋体" w:cs="宋体"/>
                <w:bCs/>
                <w:color w:val="000000" w:themeColor="text1"/>
                <w:sz w:val="18"/>
                <w:szCs w:val="18"/>
                <w14:textFill>
                  <w14:solidFill>
                    <w14:schemeClr w14:val="tx1"/>
                  </w14:solidFill>
                </w14:textFill>
              </w:rPr>
              <w:t>2</w:t>
            </w:r>
          </w:p>
        </w:tc>
        <w:tc>
          <w:tcPr>
            <w:tcW w:w="901" w:type="dxa"/>
            <w:shd w:val="clear" w:color="auto" w:fill="auto"/>
            <w:vAlign w:val="center"/>
          </w:tcPr>
          <w:p w14:paraId="74122C34">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08032</w:t>
            </w:r>
            <w:r>
              <w:rPr>
                <w:rFonts w:hint="eastAsia" w:ascii="宋体" w:hAnsi="宋体" w:cs="宋体"/>
                <w:color w:val="000000" w:themeColor="text1"/>
                <w:kern w:val="0"/>
                <w:sz w:val="18"/>
                <w:szCs w:val="18"/>
                <w:lang w:val="en-US" w:eastAsia="zh-CN"/>
                <w14:textFill>
                  <w14:solidFill>
                    <w14:schemeClr w14:val="tx1"/>
                  </w14:solidFill>
                </w14:textFill>
              </w:rPr>
              <w:t>6</w:t>
            </w:r>
            <w:r>
              <w:rPr>
                <w:rFonts w:hint="eastAsia" w:ascii="宋体" w:hAnsi="宋体" w:cs="宋体"/>
                <w:color w:val="000000" w:themeColor="text1"/>
                <w:kern w:val="0"/>
                <w:sz w:val="18"/>
                <w:szCs w:val="18"/>
                <w14:textFill>
                  <w14:solidFill>
                    <w14:schemeClr w14:val="tx1"/>
                  </w14:solidFill>
                </w14:textFill>
              </w:rPr>
              <w:t>Z</w:t>
            </w:r>
          </w:p>
        </w:tc>
        <w:tc>
          <w:tcPr>
            <w:tcW w:w="2322" w:type="dxa"/>
            <w:shd w:val="clear" w:color="auto" w:fill="auto"/>
            <w:vAlign w:val="center"/>
          </w:tcPr>
          <w:p w14:paraId="3AC49C0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毕业设计与毕业教育</w:t>
            </w:r>
          </w:p>
        </w:tc>
        <w:tc>
          <w:tcPr>
            <w:tcW w:w="437" w:type="dxa"/>
            <w:vAlign w:val="center"/>
          </w:tcPr>
          <w:p w14:paraId="7726CABD">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C</w:t>
            </w:r>
          </w:p>
        </w:tc>
        <w:tc>
          <w:tcPr>
            <w:tcW w:w="490" w:type="dxa"/>
            <w:shd w:val="clear" w:color="auto" w:fill="auto"/>
            <w:vAlign w:val="center"/>
          </w:tcPr>
          <w:p w14:paraId="68C0C2E3">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260</w:t>
            </w:r>
          </w:p>
        </w:tc>
        <w:tc>
          <w:tcPr>
            <w:tcW w:w="573" w:type="dxa"/>
            <w:shd w:val="clear" w:color="auto" w:fill="auto"/>
            <w:vAlign w:val="center"/>
          </w:tcPr>
          <w:p w14:paraId="5FC08FEC">
            <w:pPr>
              <w:pageBreakBefore w:val="0"/>
              <w:widowControl/>
              <w:kinsoku/>
              <w:wordWrap/>
              <w:overflowPunct/>
              <w:topLinePunct w:val="0"/>
              <w:bidi w:val="0"/>
              <w:spacing w:line="360" w:lineRule="exact"/>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w:t>
            </w:r>
          </w:p>
        </w:tc>
        <w:tc>
          <w:tcPr>
            <w:tcW w:w="509" w:type="dxa"/>
            <w:shd w:val="clear" w:color="auto" w:fill="auto"/>
            <w:vAlign w:val="center"/>
          </w:tcPr>
          <w:p w14:paraId="34A63ACA">
            <w:pPr>
              <w:pageBreakBefore w:val="0"/>
              <w:widowControl/>
              <w:kinsoku/>
              <w:wordWrap/>
              <w:overflowPunct/>
              <w:topLinePunct w:val="0"/>
              <w:bidi w:val="0"/>
              <w:spacing w:line="36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260</w:t>
            </w:r>
          </w:p>
        </w:tc>
        <w:tc>
          <w:tcPr>
            <w:tcW w:w="427" w:type="dxa"/>
            <w:shd w:val="clear" w:color="auto" w:fill="auto"/>
            <w:vAlign w:val="center"/>
          </w:tcPr>
          <w:p w14:paraId="5AE8809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t>
            </w:r>
          </w:p>
        </w:tc>
        <w:tc>
          <w:tcPr>
            <w:tcW w:w="437" w:type="dxa"/>
            <w:shd w:val="clear" w:color="auto" w:fill="auto"/>
            <w:vAlign w:val="center"/>
          </w:tcPr>
          <w:p w14:paraId="1F65B18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shd w:val="clear" w:color="auto" w:fill="auto"/>
            <w:vAlign w:val="center"/>
          </w:tcPr>
          <w:p w14:paraId="78501D1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06017F9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shd w:val="clear" w:color="auto" w:fill="auto"/>
            <w:vAlign w:val="center"/>
          </w:tcPr>
          <w:p w14:paraId="234A6AF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shd w:val="clear" w:color="auto" w:fill="auto"/>
            <w:vAlign w:val="center"/>
          </w:tcPr>
          <w:p w14:paraId="08FFD44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6BE95A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10W</w:t>
            </w:r>
          </w:p>
        </w:tc>
        <w:tc>
          <w:tcPr>
            <w:tcW w:w="474" w:type="dxa"/>
            <w:shd w:val="clear" w:color="auto" w:fill="auto"/>
            <w:vAlign w:val="center"/>
          </w:tcPr>
          <w:p w14:paraId="577B5AD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⑦</w:t>
            </w:r>
          </w:p>
        </w:tc>
        <w:tc>
          <w:tcPr>
            <w:tcW w:w="600" w:type="dxa"/>
            <w:vAlign w:val="center"/>
          </w:tcPr>
          <w:p w14:paraId="2BB68E6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r w14:paraId="4F96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3A782F61">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bookmarkStart w:id="45" w:name="OLE_LINK24" w:colFirst="5" w:colLast="8"/>
            <w:bookmarkStart w:id="46" w:name="OLE_LINK20" w:colFirst="5" w:colLast="14"/>
            <w:bookmarkStart w:id="47" w:name="OLE_LINK26" w:colFirst="5" w:colLast="12"/>
          </w:p>
        </w:tc>
        <w:tc>
          <w:tcPr>
            <w:tcW w:w="419" w:type="dxa"/>
            <w:vMerge w:val="continue"/>
            <w:vAlign w:val="center"/>
          </w:tcPr>
          <w:p w14:paraId="1C1A5087">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1297" w:type="dxa"/>
            <w:gridSpan w:val="2"/>
            <w:vAlign w:val="center"/>
          </w:tcPr>
          <w:p w14:paraId="68EAF4B4">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小   计</w:t>
            </w:r>
          </w:p>
        </w:tc>
        <w:tc>
          <w:tcPr>
            <w:tcW w:w="2322" w:type="dxa"/>
            <w:vAlign w:val="center"/>
          </w:tcPr>
          <w:p w14:paraId="6ADE0887">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lang w:val="en-US" w:eastAsia="zh-CN"/>
                <w14:textFill>
                  <w14:solidFill>
                    <w14:schemeClr w14:val="tx1"/>
                  </w14:solidFill>
                </w14:textFill>
              </w:rPr>
              <w:t>共2门</w:t>
            </w:r>
          </w:p>
        </w:tc>
        <w:tc>
          <w:tcPr>
            <w:tcW w:w="437" w:type="dxa"/>
            <w:vAlign w:val="center"/>
          </w:tcPr>
          <w:p w14:paraId="44357351">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vAlign w:val="center"/>
          </w:tcPr>
          <w:p w14:paraId="7C329AA3">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936</w:t>
            </w:r>
          </w:p>
        </w:tc>
        <w:tc>
          <w:tcPr>
            <w:tcW w:w="573" w:type="dxa"/>
            <w:shd w:val="clear" w:color="auto" w:fill="auto"/>
            <w:vAlign w:val="center"/>
          </w:tcPr>
          <w:p w14:paraId="508543A8">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509" w:type="dxa"/>
            <w:shd w:val="clear" w:color="auto" w:fill="auto"/>
            <w:vAlign w:val="center"/>
          </w:tcPr>
          <w:p w14:paraId="15647030">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936</w:t>
            </w:r>
          </w:p>
        </w:tc>
        <w:tc>
          <w:tcPr>
            <w:tcW w:w="427" w:type="dxa"/>
            <w:shd w:val="clear" w:color="auto" w:fill="auto"/>
            <w:vAlign w:val="center"/>
          </w:tcPr>
          <w:p w14:paraId="2445D5E2">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36</w:t>
            </w:r>
          </w:p>
        </w:tc>
        <w:tc>
          <w:tcPr>
            <w:tcW w:w="437" w:type="dxa"/>
            <w:shd w:val="clear" w:color="auto" w:fill="auto"/>
            <w:vAlign w:val="center"/>
          </w:tcPr>
          <w:p w14:paraId="7AD67161">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40" w:type="dxa"/>
            <w:shd w:val="clear" w:color="auto" w:fill="auto"/>
            <w:vAlign w:val="center"/>
          </w:tcPr>
          <w:p w14:paraId="315E8644">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50" w:type="dxa"/>
            <w:shd w:val="clear" w:color="auto" w:fill="auto"/>
            <w:vAlign w:val="center"/>
          </w:tcPr>
          <w:p w14:paraId="621FB20B">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52" w:type="dxa"/>
            <w:shd w:val="clear" w:color="auto" w:fill="auto"/>
            <w:vAlign w:val="center"/>
          </w:tcPr>
          <w:p w14:paraId="5E994171">
            <w:pPr>
              <w:pageBreakBefore w:val="0"/>
              <w:widowControl/>
              <w:kinsoku/>
              <w:wordWrap/>
              <w:overflowPunct/>
              <w:topLinePunct w:val="0"/>
              <w:bidi w:val="0"/>
              <w:spacing w:line="360" w:lineRule="exact"/>
              <w:jc w:val="center"/>
              <w:rPr>
                <w:rFonts w:ascii="宋体" w:hAnsi="宋体" w:cs="宋体"/>
                <w:b/>
                <w:bCs/>
                <w:kern w:val="0"/>
                <w:sz w:val="18"/>
                <w:szCs w:val="18"/>
              </w:rPr>
            </w:pPr>
            <w:r>
              <w:rPr>
                <w:rFonts w:hint="eastAsia" w:ascii="宋体" w:hAnsi="宋体" w:cs="宋体"/>
                <w:b/>
                <w:bCs/>
                <w:kern w:val="0"/>
                <w:sz w:val="18"/>
                <w:szCs w:val="18"/>
              </w:rPr>
              <w:t>0</w:t>
            </w:r>
          </w:p>
        </w:tc>
        <w:tc>
          <w:tcPr>
            <w:tcW w:w="462" w:type="dxa"/>
            <w:shd w:val="clear" w:color="auto" w:fill="auto"/>
            <w:vAlign w:val="center"/>
          </w:tcPr>
          <w:p w14:paraId="18B5C195">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468</w:t>
            </w:r>
          </w:p>
        </w:tc>
        <w:tc>
          <w:tcPr>
            <w:tcW w:w="450" w:type="dxa"/>
            <w:shd w:val="clear" w:color="auto" w:fill="auto"/>
            <w:vAlign w:val="center"/>
          </w:tcPr>
          <w:p w14:paraId="6A57A84A">
            <w:pPr>
              <w:pageBreakBefore w:val="0"/>
              <w:widowControl/>
              <w:kinsoku/>
              <w:wordWrap/>
              <w:overflowPunct/>
              <w:topLinePunct w:val="0"/>
              <w:bidi w:val="0"/>
              <w:spacing w:line="360" w:lineRule="exact"/>
              <w:jc w:val="center"/>
              <w:rPr>
                <w:rFonts w:hint="default" w:ascii="宋体" w:hAnsi="宋体" w:eastAsia="宋体" w:cs="宋体"/>
                <w:b/>
                <w:bCs/>
                <w:kern w:val="0"/>
                <w:sz w:val="18"/>
                <w:szCs w:val="18"/>
                <w:lang w:val="en-US" w:eastAsia="zh-CN"/>
              </w:rPr>
            </w:pPr>
            <w:r>
              <w:rPr>
                <w:rFonts w:hint="eastAsia" w:ascii="宋体" w:hAnsi="宋体" w:cs="宋体"/>
                <w:b/>
                <w:bCs/>
                <w:kern w:val="0"/>
                <w:sz w:val="18"/>
                <w:szCs w:val="18"/>
                <w:lang w:val="en-US" w:eastAsia="zh-CN"/>
              </w:rPr>
              <w:t>468</w:t>
            </w:r>
          </w:p>
        </w:tc>
        <w:tc>
          <w:tcPr>
            <w:tcW w:w="474" w:type="dxa"/>
            <w:shd w:val="clear" w:color="auto" w:fill="auto"/>
            <w:vAlign w:val="center"/>
          </w:tcPr>
          <w:p w14:paraId="08BB6C8F">
            <w:pPr>
              <w:pageBreakBefore w:val="0"/>
              <w:widowControl/>
              <w:kinsoku/>
              <w:wordWrap/>
              <w:overflowPunct/>
              <w:topLinePunct w:val="0"/>
              <w:bidi w:val="0"/>
              <w:spacing w:line="360" w:lineRule="exact"/>
              <w:jc w:val="center"/>
              <w:textAlignment w:val="center"/>
              <w:rPr>
                <w:rFonts w:ascii="宋体" w:hAnsi="宋体" w:cs="宋体"/>
                <w:kern w:val="0"/>
                <w:sz w:val="13"/>
                <w:szCs w:val="13"/>
              </w:rPr>
            </w:pPr>
          </w:p>
        </w:tc>
        <w:tc>
          <w:tcPr>
            <w:tcW w:w="600" w:type="dxa"/>
            <w:shd w:val="clear" w:color="auto" w:fill="auto"/>
            <w:vAlign w:val="center"/>
          </w:tcPr>
          <w:p w14:paraId="7015950D">
            <w:pPr>
              <w:pageBreakBefore w:val="0"/>
              <w:kinsoku/>
              <w:wordWrap/>
              <w:overflowPunct/>
              <w:topLinePunct w:val="0"/>
              <w:bidi w:val="0"/>
              <w:spacing w:line="360" w:lineRule="exact"/>
              <w:jc w:val="center"/>
              <w:rPr>
                <w:rFonts w:ascii="宋体" w:hAnsi="宋体" w:cs="宋体"/>
                <w:kern w:val="0"/>
                <w:sz w:val="13"/>
                <w:szCs w:val="13"/>
              </w:rPr>
            </w:pPr>
          </w:p>
        </w:tc>
      </w:tr>
      <w:bookmarkEnd w:id="45"/>
      <w:bookmarkEnd w:id="46"/>
      <w:bookmarkEnd w:id="47"/>
      <w:tr w14:paraId="4B1C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Merge w:val="restart"/>
            <w:vAlign w:val="center"/>
          </w:tcPr>
          <w:p w14:paraId="1B792C35">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其他</w:t>
            </w:r>
          </w:p>
        </w:tc>
        <w:tc>
          <w:tcPr>
            <w:tcW w:w="396" w:type="dxa"/>
            <w:vAlign w:val="center"/>
          </w:tcPr>
          <w:p w14:paraId="5A93B62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w:t>
            </w:r>
          </w:p>
        </w:tc>
        <w:tc>
          <w:tcPr>
            <w:tcW w:w="901" w:type="dxa"/>
            <w:vAlign w:val="center"/>
          </w:tcPr>
          <w:p w14:paraId="517FEB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Align w:val="center"/>
          </w:tcPr>
          <w:p w14:paraId="05BE2B08">
            <w:pPr>
              <w:pageBreakBefore w:val="0"/>
              <w:shd w:val="clear" w:color="auto" w:fill="FFFFFF"/>
              <w:kinsoku/>
              <w:wordWrap/>
              <w:overflowPunct/>
              <w:topLinePunct w:val="0"/>
              <w:bidi w:val="0"/>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机动、考试</w:t>
            </w:r>
          </w:p>
        </w:tc>
        <w:tc>
          <w:tcPr>
            <w:tcW w:w="437" w:type="dxa"/>
            <w:vAlign w:val="center"/>
          </w:tcPr>
          <w:p w14:paraId="6B4C5E86">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6B74AD75">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73" w:type="dxa"/>
            <w:vAlign w:val="center"/>
          </w:tcPr>
          <w:p w14:paraId="01ACC45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135F1B7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27" w:type="dxa"/>
            <w:vAlign w:val="center"/>
          </w:tcPr>
          <w:p w14:paraId="3BAAEA8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vAlign w:val="center"/>
          </w:tcPr>
          <w:p w14:paraId="544FED1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1周</w:t>
            </w:r>
          </w:p>
        </w:tc>
        <w:tc>
          <w:tcPr>
            <w:tcW w:w="440" w:type="dxa"/>
            <w:vAlign w:val="center"/>
          </w:tcPr>
          <w:p w14:paraId="5FDD688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50" w:type="dxa"/>
            <w:vAlign w:val="center"/>
          </w:tcPr>
          <w:p w14:paraId="69E73BEA">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52" w:type="dxa"/>
            <w:vAlign w:val="center"/>
          </w:tcPr>
          <w:p w14:paraId="24A173B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62" w:type="dxa"/>
            <w:vAlign w:val="center"/>
          </w:tcPr>
          <w:p w14:paraId="0DFB7219">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50" w:type="dxa"/>
            <w:vAlign w:val="center"/>
          </w:tcPr>
          <w:p w14:paraId="48945130">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2周</w:t>
            </w:r>
          </w:p>
        </w:tc>
        <w:tc>
          <w:tcPr>
            <w:tcW w:w="474" w:type="dxa"/>
            <w:vAlign w:val="center"/>
          </w:tcPr>
          <w:p w14:paraId="2BC2174A">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600" w:type="dxa"/>
            <w:vAlign w:val="center"/>
          </w:tcPr>
          <w:p w14:paraId="3F1B4348">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r>
      <w:tr w14:paraId="2FD4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Merge w:val="continue"/>
            <w:vAlign w:val="center"/>
          </w:tcPr>
          <w:p w14:paraId="061C6FB9">
            <w:pPr>
              <w:pageBreakBefore w:val="0"/>
              <w:widowControl/>
              <w:kinsoku/>
              <w:wordWrap/>
              <w:overflowPunct/>
              <w:topLinePunct w:val="0"/>
              <w:bidi w:val="0"/>
              <w:spacing w:line="360" w:lineRule="exact"/>
              <w:jc w:val="left"/>
              <w:rPr>
                <w:rFonts w:ascii="宋体" w:hAnsi="宋体" w:cs="宋体"/>
                <w:color w:val="000000" w:themeColor="text1"/>
                <w:kern w:val="0"/>
                <w:sz w:val="18"/>
                <w:szCs w:val="18"/>
                <w14:textFill>
                  <w14:solidFill>
                    <w14:schemeClr w14:val="tx1"/>
                  </w14:solidFill>
                </w14:textFill>
              </w:rPr>
            </w:pPr>
          </w:p>
        </w:tc>
        <w:tc>
          <w:tcPr>
            <w:tcW w:w="396" w:type="dxa"/>
            <w:vAlign w:val="center"/>
          </w:tcPr>
          <w:p w14:paraId="736B6927">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w:t>
            </w:r>
          </w:p>
        </w:tc>
        <w:tc>
          <w:tcPr>
            <w:tcW w:w="901" w:type="dxa"/>
            <w:vAlign w:val="center"/>
          </w:tcPr>
          <w:p w14:paraId="2C98B7A0">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2322" w:type="dxa"/>
            <w:vAlign w:val="center"/>
          </w:tcPr>
          <w:p w14:paraId="71265D4F">
            <w:pPr>
              <w:pageBreakBefore w:val="0"/>
              <w:shd w:val="clear" w:color="auto" w:fill="FFFFFF"/>
              <w:kinsoku/>
              <w:wordWrap/>
              <w:overflowPunct/>
              <w:topLinePunct w:val="0"/>
              <w:bidi w:val="0"/>
              <w:adjustRightInd w:val="0"/>
              <w:snapToGrid w:val="0"/>
              <w:spacing w:line="360" w:lineRule="exact"/>
              <w:jc w:val="center"/>
              <w:rPr>
                <w:rFonts w:ascii="宋体" w:hAnsi="宋体" w:cs="宋体"/>
                <w:color w:val="000000" w:themeColor="text1"/>
                <w:sz w:val="18"/>
                <w:szCs w:val="18"/>
                <w14:textFill>
                  <w14:solidFill>
                    <w14:schemeClr w14:val="tx1"/>
                  </w14:solidFill>
                </w14:textFill>
              </w:rPr>
            </w:pPr>
          </w:p>
        </w:tc>
        <w:tc>
          <w:tcPr>
            <w:tcW w:w="437" w:type="dxa"/>
            <w:vAlign w:val="center"/>
          </w:tcPr>
          <w:p w14:paraId="0FDA9251">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90" w:type="dxa"/>
            <w:vAlign w:val="center"/>
          </w:tcPr>
          <w:p w14:paraId="62A9F0A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73" w:type="dxa"/>
            <w:vAlign w:val="center"/>
          </w:tcPr>
          <w:p w14:paraId="29AD1E1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509" w:type="dxa"/>
            <w:vAlign w:val="center"/>
          </w:tcPr>
          <w:p w14:paraId="1B89EE1C">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27" w:type="dxa"/>
            <w:vAlign w:val="center"/>
          </w:tcPr>
          <w:p w14:paraId="7D6B3A03">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37" w:type="dxa"/>
            <w:vAlign w:val="center"/>
          </w:tcPr>
          <w:p w14:paraId="77D9480B">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40" w:type="dxa"/>
            <w:vAlign w:val="center"/>
          </w:tcPr>
          <w:p w14:paraId="09FDD04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2BE86BEF">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2" w:type="dxa"/>
            <w:vAlign w:val="center"/>
          </w:tcPr>
          <w:p w14:paraId="0AA85EEE">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62" w:type="dxa"/>
            <w:vAlign w:val="center"/>
          </w:tcPr>
          <w:p w14:paraId="6B5D4682">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450" w:type="dxa"/>
            <w:vAlign w:val="center"/>
          </w:tcPr>
          <w:p w14:paraId="48E6A694">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474" w:type="dxa"/>
            <w:vAlign w:val="center"/>
          </w:tcPr>
          <w:p w14:paraId="51399582">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c>
          <w:tcPr>
            <w:tcW w:w="600" w:type="dxa"/>
            <w:vAlign w:val="center"/>
          </w:tcPr>
          <w:p w14:paraId="6E4E6916">
            <w:pPr>
              <w:pageBreakBefore w:val="0"/>
              <w:widowControl/>
              <w:kinsoku/>
              <w:wordWrap/>
              <w:overflowPunct/>
              <w:topLinePunct w:val="0"/>
              <w:bidi w:val="0"/>
              <w:spacing w:line="360" w:lineRule="exact"/>
              <w:rPr>
                <w:rFonts w:ascii="宋体" w:hAnsi="宋体" w:cs="宋体"/>
                <w:color w:val="000000" w:themeColor="text1"/>
                <w:kern w:val="0"/>
                <w:sz w:val="18"/>
                <w:szCs w:val="18"/>
                <w14:textFill>
                  <w14:solidFill>
                    <w14:schemeClr w14:val="tx1"/>
                  </w14:solidFill>
                </w14:textFill>
              </w:rPr>
            </w:pPr>
          </w:p>
        </w:tc>
      </w:tr>
      <w:tr w14:paraId="45A4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4"/>
            <w:vAlign w:val="center"/>
          </w:tcPr>
          <w:p w14:paraId="795AAAEC">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color w:val="000000" w:themeColor="text1"/>
                <w:kern w:val="0"/>
                <w:sz w:val="18"/>
                <w:szCs w:val="18"/>
                <w14:textFill>
                  <w14:solidFill>
                    <w14:schemeClr w14:val="tx1"/>
                  </w14:solidFill>
                </w14:textFill>
              </w:rPr>
              <w:t>合   计</w:t>
            </w:r>
          </w:p>
        </w:tc>
        <w:tc>
          <w:tcPr>
            <w:tcW w:w="2322" w:type="dxa"/>
            <w:vAlign w:val="center"/>
          </w:tcPr>
          <w:p w14:paraId="47C27F39">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37" w:type="dxa"/>
            <w:vAlign w:val="center"/>
          </w:tcPr>
          <w:p w14:paraId="7B816E1A">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p>
        </w:tc>
        <w:tc>
          <w:tcPr>
            <w:tcW w:w="490" w:type="dxa"/>
            <w:shd w:val="clear" w:color="auto" w:fill="auto"/>
            <w:vAlign w:val="center"/>
          </w:tcPr>
          <w:p w14:paraId="3A5B935F">
            <w:pPr>
              <w:pageBreakBefore w:val="0"/>
              <w:widowControl/>
              <w:kinsoku/>
              <w:wordWrap/>
              <w:overflowPunct/>
              <w:topLinePunct w:val="0"/>
              <w:bidi w:val="0"/>
              <w:spacing w:line="360" w:lineRule="exact"/>
              <w:jc w:val="right"/>
              <w:textAlignment w:val="center"/>
              <w:rPr>
                <w:rFonts w:hint="default" w:ascii="宋体" w:hAnsi="宋体" w:eastAsia="宋体" w:cs="宋体"/>
                <w:b/>
                <w:bCs/>
                <w:color w:val="000000"/>
                <w:sz w:val="18"/>
                <w:szCs w:val="18"/>
                <w:lang w:val="en-US" w:eastAsia="zh-CN"/>
              </w:rPr>
            </w:pPr>
            <w:r>
              <w:rPr>
                <w:rFonts w:hint="eastAsia" w:ascii="宋体" w:hAnsi="宋体" w:cs="宋体"/>
                <w:b/>
                <w:bCs/>
                <w:color w:val="000000"/>
                <w:kern w:val="0"/>
                <w:sz w:val="18"/>
                <w:szCs w:val="18"/>
                <w:lang w:bidi="ar"/>
              </w:rPr>
              <w:t>2</w:t>
            </w:r>
            <w:r>
              <w:rPr>
                <w:rFonts w:hint="eastAsia" w:ascii="宋体" w:hAnsi="宋体" w:cs="宋体"/>
                <w:b/>
                <w:bCs/>
                <w:color w:val="000000"/>
                <w:kern w:val="0"/>
                <w:sz w:val="18"/>
                <w:szCs w:val="18"/>
                <w:lang w:val="en-US" w:eastAsia="zh-CN" w:bidi="ar"/>
              </w:rPr>
              <w:t>760</w:t>
            </w:r>
          </w:p>
        </w:tc>
        <w:tc>
          <w:tcPr>
            <w:tcW w:w="573" w:type="dxa"/>
            <w:shd w:val="clear" w:color="auto" w:fill="auto"/>
            <w:vAlign w:val="center"/>
          </w:tcPr>
          <w:p w14:paraId="6CA0CA53">
            <w:pPr>
              <w:pageBreakBefore w:val="0"/>
              <w:widowControl/>
              <w:kinsoku/>
              <w:wordWrap/>
              <w:overflowPunct/>
              <w:topLinePunct w:val="0"/>
              <w:bidi w:val="0"/>
              <w:spacing w:line="360" w:lineRule="exact"/>
              <w:jc w:val="right"/>
              <w:textAlignment w:val="center"/>
              <w:rPr>
                <w:rFonts w:hint="default" w:ascii="宋体" w:hAnsi="宋体" w:eastAsia="宋体" w:cs="宋体"/>
                <w:b/>
                <w:bCs/>
                <w:color w:val="000000"/>
                <w:sz w:val="18"/>
                <w:szCs w:val="18"/>
                <w:lang w:val="en-US" w:eastAsia="zh-CN"/>
              </w:rPr>
            </w:pPr>
            <w:r>
              <w:rPr>
                <w:rFonts w:hint="eastAsia" w:ascii="宋体" w:hAnsi="宋体" w:cs="宋体"/>
                <w:b/>
                <w:bCs/>
                <w:color w:val="000000"/>
                <w:kern w:val="0"/>
                <w:sz w:val="18"/>
                <w:szCs w:val="18"/>
                <w:lang w:val="en-US" w:eastAsia="zh-CN" w:bidi="ar"/>
              </w:rPr>
              <w:t>1006</w:t>
            </w:r>
          </w:p>
        </w:tc>
        <w:tc>
          <w:tcPr>
            <w:tcW w:w="509" w:type="dxa"/>
            <w:shd w:val="clear" w:color="auto" w:fill="auto"/>
            <w:vAlign w:val="center"/>
          </w:tcPr>
          <w:p w14:paraId="0BB9CFE9">
            <w:pPr>
              <w:pageBreakBefore w:val="0"/>
              <w:widowControl/>
              <w:kinsoku/>
              <w:wordWrap/>
              <w:overflowPunct/>
              <w:topLinePunct w:val="0"/>
              <w:bidi w:val="0"/>
              <w:spacing w:line="360" w:lineRule="exact"/>
              <w:jc w:val="right"/>
              <w:textAlignment w:val="center"/>
              <w:rPr>
                <w:rFonts w:hint="default" w:ascii="宋体" w:hAnsi="宋体" w:eastAsia="宋体" w:cs="宋体"/>
                <w:b/>
                <w:bCs/>
                <w:color w:val="000000"/>
                <w:sz w:val="18"/>
                <w:szCs w:val="18"/>
                <w:lang w:val="en-US" w:eastAsia="zh-CN"/>
              </w:rPr>
            </w:pPr>
            <w:r>
              <w:rPr>
                <w:rFonts w:hint="eastAsia" w:ascii="宋体" w:hAnsi="宋体" w:cs="宋体"/>
                <w:b/>
                <w:bCs/>
                <w:color w:val="000000"/>
                <w:sz w:val="18"/>
                <w:szCs w:val="18"/>
              </w:rPr>
              <w:t>1</w:t>
            </w:r>
            <w:r>
              <w:rPr>
                <w:rFonts w:hint="eastAsia" w:ascii="宋体" w:hAnsi="宋体" w:cs="宋体"/>
                <w:b/>
                <w:bCs/>
                <w:color w:val="000000"/>
                <w:sz w:val="18"/>
                <w:szCs w:val="18"/>
                <w:lang w:val="en-US" w:eastAsia="zh-CN"/>
              </w:rPr>
              <w:t>754</w:t>
            </w:r>
          </w:p>
        </w:tc>
        <w:tc>
          <w:tcPr>
            <w:tcW w:w="427" w:type="dxa"/>
            <w:shd w:val="clear" w:color="auto" w:fill="auto"/>
            <w:vAlign w:val="center"/>
          </w:tcPr>
          <w:p w14:paraId="451D1160">
            <w:pPr>
              <w:pageBreakBefore w:val="0"/>
              <w:widowControl/>
              <w:kinsoku/>
              <w:wordWrap/>
              <w:overflowPunct/>
              <w:topLinePunct w:val="0"/>
              <w:bidi w:val="0"/>
              <w:spacing w:line="360" w:lineRule="exact"/>
              <w:jc w:val="right"/>
              <w:textAlignment w:val="center"/>
              <w:rPr>
                <w:rFonts w:hint="eastAsia" w:ascii="宋体" w:hAnsi="宋体" w:eastAsia="宋体" w:cs="宋体"/>
                <w:b/>
                <w:bCs/>
                <w:color w:val="000000"/>
                <w:sz w:val="18"/>
                <w:szCs w:val="18"/>
                <w:lang w:val="en-US" w:eastAsia="zh-CN"/>
              </w:rPr>
            </w:pPr>
            <w:r>
              <w:rPr>
                <w:rFonts w:hint="eastAsia" w:ascii="宋体" w:hAnsi="宋体" w:cs="宋体"/>
                <w:b/>
                <w:bCs/>
                <w:color w:val="000000"/>
                <w:kern w:val="0"/>
                <w:sz w:val="18"/>
                <w:szCs w:val="18"/>
                <w:lang w:bidi="ar"/>
              </w:rPr>
              <w:t>14</w:t>
            </w:r>
            <w:r>
              <w:rPr>
                <w:rFonts w:hint="eastAsia" w:ascii="宋体" w:hAnsi="宋体" w:cs="宋体"/>
                <w:b/>
                <w:bCs/>
                <w:color w:val="000000"/>
                <w:kern w:val="0"/>
                <w:sz w:val="18"/>
                <w:szCs w:val="18"/>
                <w:lang w:val="en-US" w:eastAsia="zh-CN" w:bidi="ar"/>
              </w:rPr>
              <w:t>4</w:t>
            </w:r>
          </w:p>
        </w:tc>
        <w:tc>
          <w:tcPr>
            <w:tcW w:w="437" w:type="dxa"/>
            <w:shd w:val="clear" w:color="auto" w:fill="auto"/>
            <w:vAlign w:val="center"/>
          </w:tcPr>
          <w:p w14:paraId="2D1F8113">
            <w:pPr>
              <w:pageBreakBefore w:val="0"/>
              <w:widowControl/>
              <w:kinsoku/>
              <w:wordWrap/>
              <w:overflowPunct/>
              <w:topLinePunct w:val="0"/>
              <w:bidi w:val="0"/>
              <w:spacing w:line="360" w:lineRule="exact"/>
              <w:jc w:val="right"/>
              <w:textAlignment w:val="center"/>
              <w:rPr>
                <w:rFonts w:hint="default" w:ascii="宋体" w:hAnsi="宋体" w:eastAsia="宋体" w:cs="宋体"/>
                <w:b/>
                <w:bCs/>
                <w:color w:val="000000"/>
                <w:sz w:val="18"/>
                <w:szCs w:val="18"/>
                <w:lang w:val="en-US" w:eastAsia="zh-CN"/>
              </w:rPr>
            </w:pPr>
            <w:r>
              <w:rPr>
                <w:rFonts w:hint="eastAsia" w:ascii="宋体" w:hAnsi="宋体" w:cs="宋体"/>
                <w:b/>
                <w:bCs/>
                <w:color w:val="000000"/>
                <w:kern w:val="0"/>
                <w:sz w:val="18"/>
                <w:szCs w:val="18"/>
                <w:lang w:bidi="ar"/>
              </w:rPr>
              <w:t>5</w:t>
            </w:r>
            <w:r>
              <w:rPr>
                <w:rFonts w:hint="eastAsia" w:ascii="宋体" w:hAnsi="宋体" w:cs="宋体"/>
                <w:b/>
                <w:bCs/>
                <w:color w:val="000000"/>
                <w:kern w:val="0"/>
                <w:sz w:val="18"/>
                <w:szCs w:val="18"/>
                <w:lang w:val="en-US" w:eastAsia="zh-CN" w:bidi="ar"/>
              </w:rPr>
              <w:t>60</w:t>
            </w:r>
          </w:p>
        </w:tc>
        <w:tc>
          <w:tcPr>
            <w:tcW w:w="440" w:type="dxa"/>
            <w:shd w:val="clear" w:color="auto" w:fill="auto"/>
            <w:vAlign w:val="center"/>
          </w:tcPr>
          <w:p w14:paraId="03CE4812">
            <w:pPr>
              <w:pageBreakBefore w:val="0"/>
              <w:widowControl/>
              <w:kinsoku/>
              <w:wordWrap/>
              <w:overflowPunct/>
              <w:topLinePunct w:val="0"/>
              <w:bidi w:val="0"/>
              <w:spacing w:line="360" w:lineRule="exact"/>
              <w:jc w:val="right"/>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444</w:t>
            </w:r>
          </w:p>
        </w:tc>
        <w:tc>
          <w:tcPr>
            <w:tcW w:w="450" w:type="dxa"/>
            <w:shd w:val="clear" w:color="auto" w:fill="auto"/>
            <w:vAlign w:val="center"/>
          </w:tcPr>
          <w:p w14:paraId="37403C24">
            <w:pPr>
              <w:pageBreakBefore w:val="0"/>
              <w:widowControl/>
              <w:kinsoku/>
              <w:wordWrap/>
              <w:overflowPunct/>
              <w:topLinePunct w:val="0"/>
              <w:bidi w:val="0"/>
              <w:spacing w:line="360" w:lineRule="exact"/>
              <w:jc w:val="right"/>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428</w:t>
            </w:r>
          </w:p>
        </w:tc>
        <w:tc>
          <w:tcPr>
            <w:tcW w:w="452" w:type="dxa"/>
            <w:shd w:val="clear" w:color="auto" w:fill="auto"/>
            <w:vAlign w:val="center"/>
          </w:tcPr>
          <w:p w14:paraId="4F84831D">
            <w:pPr>
              <w:pageBreakBefore w:val="0"/>
              <w:widowControl/>
              <w:kinsoku/>
              <w:wordWrap/>
              <w:overflowPunct/>
              <w:topLinePunct w:val="0"/>
              <w:bidi w:val="0"/>
              <w:spacing w:line="360" w:lineRule="exact"/>
              <w:jc w:val="right"/>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392</w:t>
            </w:r>
          </w:p>
        </w:tc>
        <w:tc>
          <w:tcPr>
            <w:tcW w:w="462" w:type="dxa"/>
            <w:vAlign w:val="center"/>
          </w:tcPr>
          <w:p w14:paraId="6EA48CF6">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kern w:val="0"/>
                <w:sz w:val="18"/>
                <w:szCs w:val="18"/>
                <w:lang w:val="en-US" w:eastAsia="zh-CN"/>
              </w:rPr>
              <w:t>468</w:t>
            </w:r>
          </w:p>
        </w:tc>
        <w:tc>
          <w:tcPr>
            <w:tcW w:w="450" w:type="dxa"/>
            <w:vAlign w:val="center"/>
          </w:tcPr>
          <w:p w14:paraId="375C6E22">
            <w:pPr>
              <w:pageBreakBefore w:val="0"/>
              <w:widowControl/>
              <w:kinsoku/>
              <w:wordWrap/>
              <w:overflowPunct/>
              <w:topLinePunct w:val="0"/>
              <w:bidi w:val="0"/>
              <w:spacing w:line="360" w:lineRule="exact"/>
              <w:jc w:val="center"/>
              <w:rPr>
                <w:rFonts w:ascii="宋体" w:hAnsi="宋体" w:cs="宋体"/>
                <w:b/>
                <w:bCs/>
                <w:color w:val="000000" w:themeColor="text1"/>
                <w:kern w:val="0"/>
                <w:sz w:val="18"/>
                <w:szCs w:val="18"/>
                <w14:textFill>
                  <w14:solidFill>
                    <w14:schemeClr w14:val="tx1"/>
                  </w14:solidFill>
                </w14:textFill>
              </w:rPr>
            </w:pPr>
            <w:r>
              <w:rPr>
                <w:rFonts w:hint="eastAsia" w:ascii="宋体" w:hAnsi="宋体" w:cs="宋体"/>
                <w:b/>
                <w:bCs/>
                <w:kern w:val="0"/>
                <w:sz w:val="18"/>
                <w:szCs w:val="18"/>
                <w:lang w:val="en-US" w:eastAsia="zh-CN"/>
              </w:rPr>
              <w:t>468</w:t>
            </w:r>
          </w:p>
        </w:tc>
        <w:tc>
          <w:tcPr>
            <w:tcW w:w="474" w:type="dxa"/>
            <w:vAlign w:val="center"/>
          </w:tcPr>
          <w:p w14:paraId="6428AD38">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c>
          <w:tcPr>
            <w:tcW w:w="600" w:type="dxa"/>
            <w:vAlign w:val="center"/>
          </w:tcPr>
          <w:p w14:paraId="5E8875AD">
            <w:pPr>
              <w:pageBreakBefore w:val="0"/>
              <w:widowControl/>
              <w:kinsoku/>
              <w:wordWrap/>
              <w:overflowPunct/>
              <w:topLinePunct w:val="0"/>
              <w:bidi w:val="0"/>
              <w:spacing w:line="360" w:lineRule="exact"/>
              <w:jc w:val="center"/>
              <w:rPr>
                <w:rFonts w:ascii="宋体" w:hAnsi="宋体" w:cs="宋体"/>
                <w:color w:val="000000" w:themeColor="text1"/>
                <w:kern w:val="0"/>
                <w:sz w:val="18"/>
                <w:szCs w:val="18"/>
                <w14:textFill>
                  <w14:solidFill>
                    <w14:schemeClr w14:val="tx1"/>
                  </w14:solidFill>
                </w14:textFill>
              </w:rPr>
            </w:pPr>
          </w:p>
        </w:tc>
      </w:tr>
    </w:tbl>
    <w:p w14:paraId="2A87BD15">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5D7CADF1">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olor w:val="000000"/>
          <w:szCs w:val="21"/>
        </w:rPr>
        <w:t>2.课程性质：公共必修课/公共选修课/专业必修课/专业选修课。</w:t>
      </w:r>
    </w:p>
    <w:p w14:paraId="294D8670">
      <w:pPr>
        <w:pageBreakBefore w:val="0"/>
        <w:kinsoku/>
        <w:wordWrap/>
        <w:overflowPunct/>
        <w:topLinePunct w:val="0"/>
        <w:bidi w:val="0"/>
        <w:spacing w:line="360" w:lineRule="exact"/>
        <w:ind w:firstLine="420" w:firstLineChars="200"/>
        <w:rPr>
          <w:rFonts w:ascii="宋体" w:hAnsi="宋体"/>
          <w:color w:val="FF0000"/>
          <w:szCs w:val="21"/>
        </w:rPr>
      </w:pPr>
      <w:r>
        <w:rPr>
          <w:rFonts w:hint="eastAsia" w:ascii="宋体" w:hAnsi="宋体"/>
          <w:color w:val="000000"/>
          <w:szCs w:val="21"/>
        </w:rPr>
        <w:t>3.课程类型：A类（纯理论课）/B类（（理论＋实践）课）/C类（纯实践课）。</w:t>
      </w:r>
    </w:p>
    <w:p w14:paraId="383CA252">
      <w:pPr>
        <w:pStyle w:val="2"/>
        <w:pageBreakBefore w:val="0"/>
        <w:kinsoku/>
        <w:wordWrap/>
        <w:overflowPunct/>
        <w:topLinePunct w:val="0"/>
        <w:bidi w:val="0"/>
        <w:spacing w:after="0" w:line="360" w:lineRule="exact"/>
        <w:ind w:firstLine="420" w:firstLineChars="200"/>
        <w:rPr>
          <w:rFonts w:ascii="宋体" w:hAnsi="宋体"/>
          <w:color w:val="000000"/>
          <w:szCs w:val="21"/>
        </w:rPr>
      </w:pPr>
      <w:r>
        <w:rPr>
          <w:rFonts w:hint="eastAsia" w:ascii="宋体" w:hAnsi="宋体"/>
          <w:szCs w:val="21"/>
        </w:rPr>
        <w:t>4.</w:t>
      </w:r>
      <w:r>
        <w:rPr>
          <w:rFonts w:hint="eastAsia" w:ascii="宋体" w:hAnsi="宋体"/>
          <w:color w:val="000000"/>
          <w:szCs w:val="21"/>
        </w:rPr>
        <w:t>公共选修课从《公共选修课清单》中任选，不低于4门。</w:t>
      </w:r>
    </w:p>
    <w:p w14:paraId="0DCB26FF">
      <w:pPr>
        <w:pageBreakBefore w:val="0"/>
        <w:kinsoku/>
        <w:wordWrap/>
        <w:overflowPunct/>
        <w:topLinePunct w:val="0"/>
        <w:bidi w:val="0"/>
        <w:spacing w:line="360" w:lineRule="exact"/>
        <w:ind w:firstLine="420" w:firstLineChars="200"/>
        <w:rPr>
          <w:rFonts w:ascii="宋体" w:hAnsi="宋体"/>
          <w:color w:val="000000"/>
          <w:szCs w:val="21"/>
        </w:rPr>
      </w:pPr>
      <w:r>
        <w:rPr>
          <w:rFonts w:hint="eastAsia" w:ascii="宋体" w:hAnsi="宋体" w:cs="宋体"/>
          <w:lang w:val="en-US" w:eastAsia="zh-CN"/>
        </w:rPr>
        <w:t>5</w:t>
      </w:r>
      <w:r>
        <w:rPr>
          <w:rFonts w:hint="eastAsia" w:ascii="宋体" w:hAnsi="宋体" w:cs="宋体"/>
        </w:rPr>
        <w:t>.专业拓展课</w:t>
      </w:r>
      <w:r>
        <w:rPr>
          <w:rFonts w:hint="eastAsia" w:ascii="宋体" w:hAnsi="宋体" w:cs="宋体"/>
          <w:lang w:val="en-US" w:eastAsia="zh-CN"/>
        </w:rPr>
        <w:t>10</w:t>
      </w:r>
      <w:r>
        <w:rPr>
          <w:rFonts w:hint="eastAsia" w:ascii="宋体" w:hAnsi="宋体" w:cs="宋体"/>
        </w:rPr>
        <w:t>选5门。</w:t>
      </w:r>
    </w:p>
    <w:p w14:paraId="2E04632C">
      <w:pPr>
        <w:pageBreakBefore w:val="0"/>
        <w:kinsoku/>
        <w:wordWrap/>
        <w:overflowPunct/>
        <w:topLinePunct w:val="0"/>
        <w:bidi w:val="0"/>
        <w:spacing w:line="360" w:lineRule="exact"/>
        <w:ind w:left="420" w:leftChars="200"/>
        <w:rPr>
          <w:rFonts w:hint="eastAsia"/>
          <w:b/>
          <w:bCs/>
        </w:rPr>
      </w:pPr>
    </w:p>
    <w:p w14:paraId="2F5E662E">
      <w:pPr>
        <w:pageBreakBefore w:val="0"/>
        <w:kinsoku/>
        <w:wordWrap/>
        <w:overflowPunct/>
        <w:topLinePunct w:val="0"/>
        <w:bidi w:val="0"/>
        <w:spacing w:line="360" w:lineRule="exact"/>
        <w:ind w:left="420" w:leftChars="200"/>
        <w:rPr>
          <w:b/>
          <w:bCs/>
        </w:rPr>
      </w:pPr>
      <w:r>
        <w:rPr>
          <w:rFonts w:hint="eastAsia"/>
          <w:b/>
          <w:bCs/>
        </w:rPr>
        <w:t>（四）教学学时分配表</w:t>
      </w:r>
    </w:p>
    <w:tbl>
      <w:tblPr>
        <w:tblStyle w:val="14"/>
        <w:tblW w:w="428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1"/>
        <w:gridCol w:w="3748"/>
        <w:gridCol w:w="1075"/>
        <w:gridCol w:w="1333"/>
      </w:tblGrid>
      <w:tr w14:paraId="5F462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453" w:type="pct"/>
            <w:gridSpan w:val="2"/>
            <w:vAlign w:val="center"/>
          </w:tcPr>
          <w:p w14:paraId="04D31E3D">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项目</w:t>
            </w:r>
          </w:p>
        </w:tc>
        <w:tc>
          <w:tcPr>
            <w:tcW w:w="690" w:type="pct"/>
            <w:vAlign w:val="center"/>
          </w:tcPr>
          <w:p w14:paraId="0E02F1A1">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学时数</w:t>
            </w:r>
          </w:p>
        </w:tc>
        <w:tc>
          <w:tcPr>
            <w:tcW w:w="856" w:type="pct"/>
            <w:vAlign w:val="center"/>
          </w:tcPr>
          <w:p w14:paraId="51B19336">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百分比</w:t>
            </w:r>
          </w:p>
        </w:tc>
      </w:tr>
      <w:tr w14:paraId="21B7A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387C7715">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2405" w:type="pct"/>
            <w:vAlign w:val="center"/>
          </w:tcPr>
          <w:p w14:paraId="58551D79">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690" w:type="pct"/>
            <w:vAlign w:val="center"/>
          </w:tcPr>
          <w:p w14:paraId="6CFDED12">
            <w:pPr>
              <w:pageBreakBefore w:val="0"/>
              <w:tabs>
                <w:tab w:val="left" w:pos="310"/>
              </w:tabs>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506</w:t>
            </w:r>
          </w:p>
        </w:tc>
        <w:tc>
          <w:tcPr>
            <w:tcW w:w="856" w:type="pct"/>
            <w:vAlign w:val="center"/>
          </w:tcPr>
          <w:p w14:paraId="78705E1E">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18.33%</w:t>
            </w:r>
          </w:p>
        </w:tc>
      </w:tr>
      <w:tr w14:paraId="4E3F9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7C2CF370">
            <w:pPr>
              <w:pStyle w:val="2"/>
              <w:pageBreakBefore w:val="0"/>
              <w:kinsoku/>
              <w:wordWrap/>
              <w:overflowPunct/>
              <w:topLinePunct w:val="0"/>
              <w:bidi w:val="0"/>
              <w:spacing w:after="0" w:line="360" w:lineRule="exact"/>
              <w:jc w:val="center"/>
              <w:rPr>
                <w:rFonts w:ascii="宋体" w:hAnsi="宋体" w:cs="宋体"/>
                <w:sz w:val="18"/>
                <w:szCs w:val="18"/>
              </w:rPr>
            </w:pPr>
          </w:p>
        </w:tc>
        <w:tc>
          <w:tcPr>
            <w:tcW w:w="2405" w:type="pct"/>
            <w:vAlign w:val="center"/>
          </w:tcPr>
          <w:p w14:paraId="5EA0880D">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690" w:type="pct"/>
            <w:vAlign w:val="center"/>
          </w:tcPr>
          <w:p w14:paraId="5CD72514">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420</w:t>
            </w:r>
          </w:p>
        </w:tc>
        <w:tc>
          <w:tcPr>
            <w:tcW w:w="856" w:type="pct"/>
            <w:vAlign w:val="center"/>
          </w:tcPr>
          <w:p w14:paraId="3A1AE668">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15.21%</w:t>
            </w:r>
          </w:p>
        </w:tc>
      </w:tr>
      <w:tr w14:paraId="4D701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42928F03">
            <w:pPr>
              <w:pStyle w:val="2"/>
              <w:pageBreakBefore w:val="0"/>
              <w:kinsoku/>
              <w:wordWrap/>
              <w:overflowPunct/>
              <w:topLinePunct w:val="0"/>
              <w:bidi w:val="0"/>
              <w:spacing w:after="0" w:line="360" w:lineRule="exact"/>
              <w:jc w:val="center"/>
              <w:rPr>
                <w:rFonts w:ascii="宋体" w:hAnsi="宋体" w:cs="宋体"/>
                <w:sz w:val="18"/>
                <w:szCs w:val="18"/>
              </w:rPr>
            </w:pPr>
          </w:p>
        </w:tc>
        <w:tc>
          <w:tcPr>
            <w:tcW w:w="2405" w:type="pct"/>
            <w:vAlign w:val="center"/>
          </w:tcPr>
          <w:p w14:paraId="076DD7EE">
            <w:pPr>
              <w:pageBreakBefore w:val="0"/>
              <w:kinsoku/>
              <w:wordWrap/>
              <w:overflowPunct/>
              <w:topLinePunct w:val="0"/>
              <w:autoSpaceDE w:val="0"/>
              <w:autoSpaceDN w:val="0"/>
              <w:bidi w:val="0"/>
              <w:spacing w:line="360" w:lineRule="exact"/>
              <w:jc w:val="center"/>
              <w:rPr>
                <w:rFonts w:hint="eastAsia" w:ascii="宋体" w:hAnsi="宋体" w:cs="宋体"/>
                <w:sz w:val="18"/>
                <w:szCs w:val="18"/>
              </w:rPr>
            </w:pPr>
            <w:r>
              <w:rPr>
                <w:rFonts w:hint="eastAsia" w:ascii="宋体" w:hAnsi="宋体" w:cs="宋体"/>
                <w:sz w:val="18"/>
                <w:szCs w:val="18"/>
              </w:rPr>
              <w:t>其它</w:t>
            </w:r>
          </w:p>
        </w:tc>
        <w:tc>
          <w:tcPr>
            <w:tcW w:w="690" w:type="pct"/>
            <w:vAlign w:val="center"/>
          </w:tcPr>
          <w:p w14:paraId="1FABE3DB">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80</w:t>
            </w:r>
          </w:p>
        </w:tc>
        <w:tc>
          <w:tcPr>
            <w:tcW w:w="856" w:type="pct"/>
            <w:vAlign w:val="center"/>
          </w:tcPr>
          <w:p w14:paraId="6B073DCC">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2.89%</w:t>
            </w:r>
          </w:p>
        </w:tc>
      </w:tr>
      <w:tr w14:paraId="7F95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6351B96B">
            <w:pPr>
              <w:pStyle w:val="2"/>
              <w:pageBreakBefore w:val="0"/>
              <w:kinsoku/>
              <w:wordWrap/>
              <w:overflowPunct/>
              <w:topLinePunct w:val="0"/>
              <w:bidi w:val="0"/>
              <w:spacing w:after="0" w:line="360" w:lineRule="exact"/>
              <w:jc w:val="center"/>
              <w:rPr>
                <w:rFonts w:ascii="宋体" w:hAnsi="宋体" w:cs="宋体"/>
                <w:sz w:val="18"/>
                <w:szCs w:val="18"/>
              </w:rPr>
            </w:pPr>
          </w:p>
        </w:tc>
        <w:tc>
          <w:tcPr>
            <w:tcW w:w="2405" w:type="pct"/>
            <w:vAlign w:val="center"/>
          </w:tcPr>
          <w:p w14:paraId="0736D73D">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90" w:type="pct"/>
            <w:vAlign w:val="center"/>
          </w:tcPr>
          <w:p w14:paraId="0D618ED9">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1006</w:t>
            </w:r>
          </w:p>
        </w:tc>
        <w:tc>
          <w:tcPr>
            <w:tcW w:w="856" w:type="pct"/>
            <w:vAlign w:val="center"/>
          </w:tcPr>
          <w:p w14:paraId="3764832B">
            <w:pPr>
              <w:pStyle w:val="21"/>
              <w:pageBreakBefore w:val="0"/>
              <w:kinsoku/>
              <w:wordWrap/>
              <w:overflowPunct/>
              <w:topLinePunct w:val="0"/>
              <w:bidi w:val="0"/>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36.44%</w:t>
            </w:r>
          </w:p>
        </w:tc>
      </w:tr>
      <w:tr w14:paraId="5E27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374C9423">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2405" w:type="pct"/>
            <w:vAlign w:val="center"/>
          </w:tcPr>
          <w:p w14:paraId="5B113E57">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690" w:type="pct"/>
            <w:vAlign w:val="center"/>
          </w:tcPr>
          <w:p w14:paraId="3836541B">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390</w:t>
            </w:r>
          </w:p>
        </w:tc>
        <w:tc>
          <w:tcPr>
            <w:tcW w:w="856" w:type="pct"/>
            <w:vAlign w:val="center"/>
          </w:tcPr>
          <w:p w14:paraId="20E3D6ED">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14.13%</w:t>
            </w:r>
          </w:p>
        </w:tc>
      </w:tr>
      <w:tr w14:paraId="2C562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17415E25">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405" w:type="pct"/>
            <w:vAlign w:val="center"/>
          </w:tcPr>
          <w:p w14:paraId="7EA49CF3">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690" w:type="pct"/>
            <w:vAlign w:val="center"/>
          </w:tcPr>
          <w:p w14:paraId="357EAEB5">
            <w:pPr>
              <w:pageBreakBefore w:val="0"/>
              <w:tabs>
                <w:tab w:val="left" w:pos="598"/>
              </w:tabs>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348</w:t>
            </w:r>
          </w:p>
        </w:tc>
        <w:tc>
          <w:tcPr>
            <w:tcW w:w="856" w:type="pct"/>
            <w:vAlign w:val="center"/>
          </w:tcPr>
          <w:p w14:paraId="519215CA">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12.60%</w:t>
            </w:r>
          </w:p>
        </w:tc>
      </w:tr>
      <w:tr w14:paraId="3E2A7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5D707920">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405" w:type="pct"/>
            <w:vAlign w:val="center"/>
          </w:tcPr>
          <w:p w14:paraId="2D15F2C8">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其它</w:t>
            </w:r>
          </w:p>
        </w:tc>
        <w:tc>
          <w:tcPr>
            <w:tcW w:w="690" w:type="pct"/>
            <w:vAlign w:val="center"/>
          </w:tcPr>
          <w:p w14:paraId="405EF453">
            <w:pPr>
              <w:pStyle w:val="21"/>
              <w:pageBreakBefore w:val="0"/>
              <w:kinsoku/>
              <w:wordWrap/>
              <w:overflowPunct/>
              <w:topLinePunct w:val="0"/>
              <w:bidi w:val="0"/>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1016</w:t>
            </w:r>
          </w:p>
        </w:tc>
        <w:tc>
          <w:tcPr>
            <w:tcW w:w="856" w:type="pct"/>
            <w:vAlign w:val="center"/>
          </w:tcPr>
          <w:p w14:paraId="65F74BB2">
            <w:pPr>
              <w:pStyle w:val="21"/>
              <w:pageBreakBefore w:val="0"/>
              <w:kinsoku/>
              <w:wordWrap/>
              <w:overflowPunct/>
              <w:topLinePunct w:val="0"/>
              <w:bidi w:val="0"/>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36.81%</w:t>
            </w:r>
          </w:p>
        </w:tc>
      </w:tr>
      <w:tr w14:paraId="414B2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1D93C02A">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405" w:type="pct"/>
            <w:vAlign w:val="center"/>
          </w:tcPr>
          <w:p w14:paraId="5270DBEF">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90" w:type="pct"/>
            <w:vAlign w:val="center"/>
          </w:tcPr>
          <w:p w14:paraId="31BDAB8F">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1754</w:t>
            </w:r>
          </w:p>
        </w:tc>
        <w:tc>
          <w:tcPr>
            <w:tcW w:w="856" w:type="pct"/>
            <w:vAlign w:val="center"/>
          </w:tcPr>
          <w:p w14:paraId="7915F4D7">
            <w:pPr>
              <w:pStyle w:val="21"/>
              <w:pageBreakBefore w:val="0"/>
              <w:kinsoku/>
              <w:wordWrap/>
              <w:overflowPunct/>
              <w:topLinePunct w:val="0"/>
              <w:bidi w:val="0"/>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63.55%</w:t>
            </w:r>
          </w:p>
        </w:tc>
      </w:tr>
      <w:tr w14:paraId="6CB76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restart"/>
            <w:vAlign w:val="center"/>
          </w:tcPr>
          <w:p w14:paraId="788B9472">
            <w:pPr>
              <w:pStyle w:val="2"/>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2405" w:type="pct"/>
            <w:vAlign w:val="center"/>
          </w:tcPr>
          <w:p w14:paraId="3D4C0019">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690" w:type="pct"/>
            <w:vAlign w:val="center"/>
          </w:tcPr>
          <w:p w14:paraId="295678D1">
            <w:pPr>
              <w:pageBreakBefore w:val="0"/>
              <w:tabs>
                <w:tab w:val="left" w:pos="448"/>
              </w:tabs>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64</w:t>
            </w:r>
          </w:p>
        </w:tc>
        <w:tc>
          <w:tcPr>
            <w:tcW w:w="856" w:type="pct"/>
            <w:vAlign w:val="center"/>
          </w:tcPr>
          <w:p w14:paraId="7B8D116B">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2.31%</w:t>
            </w:r>
          </w:p>
        </w:tc>
      </w:tr>
      <w:tr w14:paraId="01A58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047" w:type="pct"/>
            <w:vMerge w:val="continue"/>
            <w:vAlign w:val="center"/>
          </w:tcPr>
          <w:p w14:paraId="3C658292">
            <w:pPr>
              <w:pStyle w:val="2"/>
              <w:pageBreakBefore w:val="0"/>
              <w:kinsoku/>
              <w:wordWrap/>
              <w:overflowPunct/>
              <w:topLinePunct w:val="0"/>
              <w:bidi w:val="0"/>
              <w:spacing w:after="0" w:line="360" w:lineRule="exact"/>
              <w:jc w:val="center"/>
              <w:rPr>
                <w:rFonts w:ascii="宋体" w:hAnsi="宋体" w:cs="宋体"/>
                <w:sz w:val="18"/>
                <w:szCs w:val="18"/>
              </w:rPr>
            </w:pPr>
          </w:p>
        </w:tc>
        <w:tc>
          <w:tcPr>
            <w:tcW w:w="2405" w:type="pct"/>
            <w:vAlign w:val="center"/>
          </w:tcPr>
          <w:p w14:paraId="39650206">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公共基础任选课程学时</w:t>
            </w:r>
          </w:p>
        </w:tc>
        <w:tc>
          <w:tcPr>
            <w:tcW w:w="690" w:type="pct"/>
            <w:vAlign w:val="center"/>
          </w:tcPr>
          <w:p w14:paraId="519B28B2">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64</w:t>
            </w:r>
          </w:p>
        </w:tc>
        <w:tc>
          <w:tcPr>
            <w:tcW w:w="856" w:type="pct"/>
            <w:vAlign w:val="center"/>
          </w:tcPr>
          <w:p w14:paraId="0CA49AC8">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2.31%</w:t>
            </w:r>
          </w:p>
        </w:tc>
      </w:tr>
      <w:tr w14:paraId="6EBC7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1E00956F">
            <w:pPr>
              <w:pStyle w:val="2"/>
              <w:pageBreakBefore w:val="0"/>
              <w:kinsoku/>
              <w:wordWrap/>
              <w:overflowPunct/>
              <w:topLinePunct w:val="0"/>
              <w:bidi w:val="0"/>
              <w:spacing w:after="0" w:line="360" w:lineRule="exact"/>
              <w:jc w:val="center"/>
              <w:rPr>
                <w:rFonts w:ascii="宋体" w:hAnsi="宋体" w:cs="宋体"/>
                <w:sz w:val="18"/>
                <w:szCs w:val="18"/>
              </w:rPr>
            </w:pPr>
          </w:p>
        </w:tc>
        <w:tc>
          <w:tcPr>
            <w:tcW w:w="2405" w:type="pct"/>
            <w:vAlign w:val="center"/>
          </w:tcPr>
          <w:p w14:paraId="61F249A3">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专业拓展（限选）课程学时</w:t>
            </w:r>
          </w:p>
        </w:tc>
        <w:tc>
          <w:tcPr>
            <w:tcW w:w="690" w:type="pct"/>
            <w:vAlign w:val="center"/>
          </w:tcPr>
          <w:p w14:paraId="1841A154">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160</w:t>
            </w:r>
          </w:p>
        </w:tc>
        <w:tc>
          <w:tcPr>
            <w:tcW w:w="856" w:type="pct"/>
            <w:vAlign w:val="center"/>
          </w:tcPr>
          <w:p w14:paraId="4C80C0A3">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5.79%</w:t>
            </w:r>
          </w:p>
        </w:tc>
      </w:tr>
      <w:tr w14:paraId="0BA30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7" w:type="pct"/>
            <w:vMerge w:val="continue"/>
            <w:vAlign w:val="center"/>
          </w:tcPr>
          <w:p w14:paraId="70656CFB">
            <w:pPr>
              <w:pStyle w:val="2"/>
              <w:pageBreakBefore w:val="0"/>
              <w:kinsoku/>
              <w:wordWrap/>
              <w:overflowPunct/>
              <w:topLinePunct w:val="0"/>
              <w:bidi w:val="0"/>
              <w:spacing w:after="0" w:line="360" w:lineRule="exact"/>
              <w:jc w:val="center"/>
              <w:rPr>
                <w:rFonts w:ascii="宋体" w:hAnsi="宋体" w:cs="宋体"/>
                <w:sz w:val="18"/>
                <w:szCs w:val="18"/>
              </w:rPr>
            </w:pPr>
          </w:p>
        </w:tc>
        <w:tc>
          <w:tcPr>
            <w:tcW w:w="2405" w:type="pct"/>
            <w:vAlign w:val="center"/>
          </w:tcPr>
          <w:p w14:paraId="556E2A9A">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690" w:type="pct"/>
            <w:vAlign w:val="center"/>
          </w:tcPr>
          <w:p w14:paraId="26B1E2A2">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288</w:t>
            </w:r>
          </w:p>
        </w:tc>
        <w:tc>
          <w:tcPr>
            <w:tcW w:w="856" w:type="pct"/>
            <w:vAlign w:val="center"/>
          </w:tcPr>
          <w:p w14:paraId="101AC2E4">
            <w:pPr>
              <w:pStyle w:val="21"/>
              <w:pageBreakBefore w:val="0"/>
              <w:kinsoku/>
              <w:wordWrap/>
              <w:overflowPunct/>
              <w:topLinePunct w:val="0"/>
              <w:bidi w:val="0"/>
              <w:spacing w:line="360" w:lineRule="exact"/>
              <w:jc w:val="center"/>
              <w:rPr>
                <w:rFonts w:hint="default" w:ascii="宋体" w:hAnsi="宋体" w:eastAsia="宋体" w:cs="宋体"/>
                <w:lang w:val="en-US" w:eastAsia="zh-CN"/>
              </w:rPr>
            </w:pPr>
            <w:r>
              <w:rPr>
                <w:rFonts w:hint="eastAsia" w:ascii="宋体" w:hAnsi="宋体" w:eastAsia="宋体" w:cs="宋体"/>
                <w:lang w:val="en-US" w:eastAsia="zh-CN"/>
              </w:rPr>
              <w:t>10.43%</w:t>
            </w:r>
          </w:p>
        </w:tc>
      </w:tr>
      <w:tr w14:paraId="05212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4143" w:type="pct"/>
            <w:gridSpan w:val="3"/>
            <w:tcBorders>
              <w:right w:val="single" w:color="auto" w:sz="4" w:space="0"/>
            </w:tcBorders>
            <w:vAlign w:val="center"/>
          </w:tcPr>
          <w:p w14:paraId="1712FFA5">
            <w:pPr>
              <w:pageBreakBefore w:val="0"/>
              <w:kinsoku/>
              <w:wordWrap/>
              <w:overflowPunct/>
              <w:topLinePunct w:val="0"/>
              <w:autoSpaceDE w:val="0"/>
              <w:autoSpaceDN w:val="0"/>
              <w:bidi w:val="0"/>
              <w:spacing w:line="360" w:lineRule="exact"/>
              <w:ind w:firstLine="420"/>
              <w:jc w:val="center"/>
              <w:rPr>
                <w:rFonts w:hint="eastAsia" w:ascii="宋体" w:hAnsi="宋体" w:eastAsia="宋体" w:cs="宋体"/>
                <w:sz w:val="18"/>
                <w:szCs w:val="18"/>
                <w:lang w:eastAsia="zh-CN"/>
              </w:rPr>
            </w:pPr>
            <w:r>
              <w:rPr>
                <w:rFonts w:hint="eastAsia" w:ascii="宋体" w:hAnsi="宋体" w:cs="宋体"/>
                <w:sz w:val="18"/>
                <w:szCs w:val="18"/>
                <w:lang w:val="en-US" w:eastAsia="zh-CN"/>
              </w:rPr>
              <w:t>总学时</w:t>
            </w:r>
          </w:p>
        </w:tc>
        <w:tc>
          <w:tcPr>
            <w:tcW w:w="856" w:type="pct"/>
            <w:tcBorders>
              <w:left w:val="single" w:color="auto" w:sz="4" w:space="0"/>
            </w:tcBorders>
          </w:tcPr>
          <w:p w14:paraId="7487F092">
            <w:pPr>
              <w:pageBreakBefore w:val="0"/>
              <w:kinsoku/>
              <w:wordWrap/>
              <w:overflowPunct/>
              <w:topLinePunct w:val="0"/>
              <w:bidi w:val="0"/>
              <w:spacing w:line="360" w:lineRule="exact"/>
              <w:ind w:firstLine="408"/>
              <w:rPr>
                <w:rFonts w:hint="default" w:ascii="宋体" w:hAnsi="宋体" w:eastAsia="宋体" w:cs="宋体"/>
                <w:sz w:val="18"/>
                <w:szCs w:val="18"/>
                <w:lang w:val="en-US" w:eastAsia="zh-CN"/>
              </w:rPr>
            </w:pPr>
            <w:r>
              <w:rPr>
                <w:rFonts w:hint="eastAsia" w:ascii="宋体" w:hAnsi="宋体" w:cs="宋体"/>
                <w:sz w:val="18"/>
                <w:szCs w:val="18"/>
                <w:lang w:val="en-US" w:eastAsia="zh-CN"/>
              </w:rPr>
              <w:t>2760</w:t>
            </w:r>
          </w:p>
        </w:tc>
      </w:tr>
    </w:tbl>
    <w:p w14:paraId="390AFF2B">
      <w:pPr>
        <w:pStyle w:val="4"/>
        <w:pageBreakBefore w:val="0"/>
        <w:kinsoku/>
        <w:wordWrap/>
        <w:overflowPunct/>
        <w:topLinePunct w:val="0"/>
        <w:bidi w:val="0"/>
        <w:adjustRightInd w:val="0"/>
        <w:snapToGrid w:val="0"/>
        <w:spacing w:before="0" w:beforeLines="0" w:after="0" w:afterLines="0" w:line="360" w:lineRule="exact"/>
        <w:ind w:firstLine="422" w:firstLineChars="200"/>
        <w:rPr>
          <w:sz w:val="21"/>
          <w:szCs w:val="21"/>
        </w:rPr>
      </w:pPr>
      <w:r>
        <w:rPr>
          <w:rFonts w:hint="eastAsia"/>
          <w:sz w:val="21"/>
          <w:szCs w:val="21"/>
        </w:rPr>
        <w:t>（五）公共选修课清单</w:t>
      </w:r>
    </w:p>
    <w:p w14:paraId="572E7C52">
      <w:pPr>
        <w:pageBreakBefore w:val="0"/>
        <w:kinsoku/>
        <w:wordWrap/>
        <w:overflowPunct/>
        <w:topLinePunct w:val="0"/>
        <w:bidi w:val="0"/>
        <w:spacing w:line="360" w:lineRule="exact"/>
        <w:jc w:val="center"/>
        <w:rPr>
          <w:b/>
          <w:bCs/>
          <w:szCs w:val="21"/>
        </w:rPr>
      </w:pPr>
      <w:r>
        <w:rPr>
          <w:rFonts w:hint="eastAsia"/>
          <w:b/>
          <w:bCs/>
          <w:szCs w:val="21"/>
        </w:rPr>
        <w:t>公共选修课清单表</w:t>
      </w:r>
    </w:p>
    <w:tbl>
      <w:tblPr>
        <w:tblStyle w:val="19"/>
        <w:tblW w:w="77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5"/>
        <w:gridCol w:w="2957"/>
        <w:gridCol w:w="828"/>
        <w:gridCol w:w="887"/>
        <w:gridCol w:w="2562"/>
      </w:tblGrid>
      <w:tr w14:paraId="03737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vAlign w:val="center"/>
          </w:tcPr>
          <w:p w14:paraId="4CFCCAEA">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序号</w:t>
            </w:r>
          </w:p>
        </w:tc>
        <w:tc>
          <w:tcPr>
            <w:tcW w:w="2957" w:type="dxa"/>
            <w:tcBorders>
              <w:top w:val="single" w:color="000000" w:sz="6" w:space="0"/>
              <w:left w:val="single" w:color="000000" w:sz="6" w:space="0"/>
              <w:bottom w:val="single" w:color="000000" w:sz="6" w:space="0"/>
              <w:right w:val="single" w:color="000000" w:sz="6" w:space="0"/>
            </w:tcBorders>
            <w:vAlign w:val="center"/>
          </w:tcPr>
          <w:p w14:paraId="4EA1469D">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课程名称</w:t>
            </w:r>
          </w:p>
        </w:tc>
        <w:tc>
          <w:tcPr>
            <w:tcW w:w="828" w:type="dxa"/>
            <w:tcBorders>
              <w:top w:val="single" w:color="000000" w:sz="6" w:space="0"/>
              <w:left w:val="single" w:color="000000" w:sz="6" w:space="0"/>
              <w:bottom w:val="single" w:color="000000" w:sz="6" w:space="0"/>
              <w:right w:val="single" w:color="000000" w:sz="6" w:space="0"/>
            </w:tcBorders>
            <w:vAlign w:val="center"/>
          </w:tcPr>
          <w:p w14:paraId="7E6023AA">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学分</w:t>
            </w:r>
          </w:p>
        </w:tc>
        <w:tc>
          <w:tcPr>
            <w:tcW w:w="887" w:type="dxa"/>
            <w:tcBorders>
              <w:top w:val="single" w:color="000000" w:sz="6" w:space="0"/>
              <w:left w:val="single" w:color="000000" w:sz="6" w:space="0"/>
              <w:bottom w:val="single" w:color="000000" w:sz="6" w:space="0"/>
              <w:right w:val="single" w:color="000000" w:sz="6" w:space="0"/>
            </w:tcBorders>
            <w:vAlign w:val="center"/>
          </w:tcPr>
          <w:p w14:paraId="1C887108">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总学时</w:t>
            </w:r>
          </w:p>
        </w:tc>
        <w:tc>
          <w:tcPr>
            <w:tcW w:w="2562" w:type="dxa"/>
            <w:tcBorders>
              <w:top w:val="single" w:color="000000" w:sz="6" w:space="0"/>
              <w:left w:val="single" w:color="000000" w:sz="6" w:space="0"/>
              <w:bottom w:val="single" w:color="000000" w:sz="6" w:space="0"/>
              <w:right w:val="single" w:color="000000" w:sz="6" w:space="0"/>
            </w:tcBorders>
            <w:vAlign w:val="center"/>
          </w:tcPr>
          <w:p w14:paraId="19B888BE">
            <w:pPr>
              <w:pageBreakBefore w:val="0"/>
              <w:kinsoku/>
              <w:wordWrap/>
              <w:overflowPunct/>
              <w:topLinePunct w:val="0"/>
              <w:autoSpaceDE w:val="0"/>
              <w:autoSpaceDN w:val="0"/>
              <w:bidi w:val="0"/>
              <w:spacing w:line="360" w:lineRule="exact"/>
              <w:jc w:val="center"/>
              <w:rPr>
                <w:rFonts w:ascii="宋体" w:hAnsi="宋体" w:cs="宋体"/>
                <w:b/>
                <w:bCs/>
                <w:szCs w:val="21"/>
                <w:lang w:eastAsia="en-US"/>
              </w:rPr>
            </w:pPr>
            <w:r>
              <w:rPr>
                <w:rFonts w:hint="eastAsia" w:ascii="宋体" w:hAnsi="宋体" w:cs="宋体"/>
                <w:b/>
                <w:bCs/>
                <w:szCs w:val="21"/>
                <w:lang w:eastAsia="en-US"/>
              </w:rPr>
              <w:t>备注</w:t>
            </w:r>
          </w:p>
        </w:tc>
      </w:tr>
      <w:tr w14:paraId="30D4E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vAlign w:val="center"/>
          </w:tcPr>
          <w:p w14:paraId="41100D0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14ACF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22CE3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6B801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restart"/>
            <w:tcBorders>
              <w:top w:val="single" w:color="000000" w:sz="6" w:space="0"/>
              <w:left w:val="single" w:color="000000" w:sz="6" w:space="0"/>
              <w:right w:val="single" w:color="000000" w:sz="6" w:space="0"/>
            </w:tcBorders>
            <w:vAlign w:val="center"/>
          </w:tcPr>
          <w:p w14:paraId="4AB4A8AB">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8门课程任选2门</w:t>
            </w:r>
          </w:p>
          <w:p w14:paraId="009C414A">
            <w:pPr>
              <w:pageBreakBefore w:val="0"/>
              <w:kinsoku/>
              <w:wordWrap/>
              <w:overflowPunct/>
              <w:topLinePunct w:val="0"/>
              <w:autoSpaceDE w:val="0"/>
              <w:autoSpaceDN w:val="0"/>
              <w:bidi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34E99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vAlign w:val="center"/>
          </w:tcPr>
          <w:p w14:paraId="3913535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25D93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AD7E6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34CD8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594050DC">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6EE3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vAlign w:val="center"/>
          </w:tcPr>
          <w:p w14:paraId="48DF184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DCBEA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0320C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2CB64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07427EAA">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0976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vAlign w:val="center"/>
          </w:tcPr>
          <w:p w14:paraId="1D05370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746B3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B4A08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3C406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6AC63B06">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3A56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147F7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EDB76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44C3A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8C8FD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5D1546B4">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E1D3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C51B7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FF229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4D631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7F7DF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2D37FAA2">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4FAA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E29AC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12B5F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985E2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1BE20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1A92F1AB">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5EF9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0F8DE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4C605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610C5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16DFB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bottom w:val="single" w:color="000000" w:sz="6" w:space="0"/>
              <w:right w:val="single" w:color="000000" w:sz="6" w:space="0"/>
            </w:tcBorders>
            <w:vAlign w:val="center"/>
          </w:tcPr>
          <w:p w14:paraId="19A2CC28">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8E74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96034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69DEB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98539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46DB5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restart"/>
            <w:tcBorders>
              <w:top w:val="single" w:color="000000" w:sz="6" w:space="0"/>
              <w:left w:val="single" w:color="000000" w:sz="6" w:space="0"/>
              <w:right w:val="single" w:color="000000" w:sz="6" w:space="0"/>
            </w:tcBorders>
            <w:shd w:val="clear" w:color="auto" w:fill="auto"/>
            <w:vAlign w:val="center"/>
          </w:tcPr>
          <w:p w14:paraId="6ECC101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27119AB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08135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C5CA6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8AD54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61547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59D5D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0F4B210F">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A8DE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09523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8EDE1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EE1EE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C8BC0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0E709EB6">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21F1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414BB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BEA69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2E57E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32941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7C896118">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1B9B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1EE3D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28A3B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79FF6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61B81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01FCE51D">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8B3E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089DF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061A68">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99CAE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EC5E3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532112A3">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4194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6857F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E057BF">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39151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1AFB9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73D2B5E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05F84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388BB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43A63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11CB4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35B3D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5430BCF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51528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FE4B8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18C269">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46F82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CAEFC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310CC9BB">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30E81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52AE8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B24BE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2DDD7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ADD16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28D0A52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AF1E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5EA95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A053F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B8518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C2B37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4BC9164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F7BB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061086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E4497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C7318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11424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34484E8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D99B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B9314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95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F46510">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82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EA0E6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F53DD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shd w:val="clear" w:color="auto" w:fill="auto"/>
            <w:vAlign w:val="center"/>
          </w:tcPr>
          <w:p w14:paraId="36DF374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BD5C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89036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957" w:type="dxa"/>
            <w:tcBorders>
              <w:top w:val="single" w:color="000000" w:sz="6" w:space="0"/>
              <w:left w:val="single" w:color="000000" w:sz="6" w:space="0"/>
              <w:bottom w:val="single" w:color="000000" w:sz="6" w:space="0"/>
              <w:right w:val="single" w:color="000000" w:sz="6" w:space="0"/>
            </w:tcBorders>
            <w:vAlign w:val="center"/>
          </w:tcPr>
          <w:p w14:paraId="07BF735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828" w:type="dxa"/>
            <w:tcBorders>
              <w:top w:val="single" w:color="000000" w:sz="6" w:space="0"/>
              <w:left w:val="single" w:color="000000" w:sz="6" w:space="0"/>
              <w:bottom w:val="single" w:color="000000" w:sz="6" w:space="0"/>
              <w:right w:val="single" w:color="000000" w:sz="6" w:space="0"/>
            </w:tcBorders>
            <w:vAlign w:val="center"/>
          </w:tcPr>
          <w:p w14:paraId="684AA9C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06DF9FD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03BB7A2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62D0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5F7C3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957" w:type="dxa"/>
            <w:tcBorders>
              <w:top w:val="single" w:color="000000" w:sz="6" w:space="0"/>
              <w:left w:val="single" w:color="000000" w:sz="6" w:space="0"/>
              <w:bottom w:val="single" w:color="000000" w:sz="6" w:space="0"/>
              <w:right w:val="single" w:color="000000" w:sz="6" w:space="0"/>
            </w:tcBorders>
            <w:vAlign w:val="center"/>
          </w:tcPr>
          <w:p w14:paraId="79E28AB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828" w:type="dxa"/>
            <w:tcBorders>
              <w:top w:val="single" w:color="000000" w:sz="6" w:space="0"/>
              <w:left w:val="single" w:color="000000" w:sz="6" w:space="0"/>
              <w:bottom w:val="single" w:color="000000" w:sz="6" w:space="0"/>
              <w:right w:val="single" w:color="000000" w:sz="6" w:space="0"/>
            </w:tcBorders>
            <w:vAlign w:val="center"/>
          </w:tcPr>
          <w:p w14:paraId="743DEFA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1E3F8C6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08ED45C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EB66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F2D27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957" w:type="dxa"/>
            <w:tcBorders>
              <w:top w:val="single" w:color="000000" w:sz="6" w:space="0"/>
              <w:left w:val="single" w:color="000000" w:sz="6" w:space="0"/>
              <w:bottom w:val="single" w:color="000000" w:sz="6" w:space="0"/>
              <w:right w:val="single" w:color="000000" w:sz="6" w:space="0"/>
            </w:tcBorders>
            <w:vAlign w:val="center"/>
          </w:tcPr>
          <w:p w14:paraId="5E1C5A7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828" w:type="dxa"/>
            <w:tcBorders>
              <w:top w:val="single" w:color="000000" w:sz="6" w:space="0"/>
              <w:left w:val="single" w:color="000000" w:sz="6" w:space="0"/>
              <w:bottom w:val="single" w:color="000000" w:sz="6" w:space="0"/>
              <w:right w:val="single" w:color="000000" w:sz="6" w:space="0"/>
            </w:tcBorders>
            <w:vAlign w:val="center"/>
          </w:tcPr>
          <w:p w14:paraId="5430ADF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69A9537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235339C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2624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4C25C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957" w:type="dxa"/>
            <w:tcBorders>
              <w:top w:val="single" w:color="000000" w:sz="6" w:space="0"/>
              <w:left w:val="single" w:color="000000" w:sz="6" w:space="0"/>
              <w:bottom w:val="single" w:color="000000" w:sz="6" w:space="0"/>
              <w:right w:val="single" w:color="000000" w:sz="6" w:space="0"/>
            </w:tcBorders>
            <w:vAlign w:val="center"/>
          </w:tcPr>
          <w:p w14:paraId="27E2669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828" w:type="dxa"/>
            <w:tcBorders>
              <w:top w:val="single" w:color="000000" w:sz="6" w:space="0"/>
              <w:left w:val="single" w:color="000000" w:sz="6" w:space="0"/>
              <w:bottom w:val="single" w:color="000000" w:sz="6" w:space="0"/>
              <w:right w:val="single" w:color="000000" w:sz="6" w:space="0"/>
            </w:tcBorders>
            <w:vAlign w:val="center"/>
          </w:tcPr>
          <w:p w14:paraId="377A466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1DE37DE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3264876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765F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10109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957" w:type="dxa"/>
            <w:tcBorders>
              <w:top w:val="single" w:color="000000" w:sz="6" w:space="0"/>
              <w:left w:val="single" w:color="000000" w:sz="6" w:space="0"/>
              <w:bottom w:val="single" w:color="000000" w:sz="6" w:space="0"/>
              <w:right w:val="single" w:color="000000" w:sz="6" w:space="0"/>
            </w:tcBorders>
            <w:vAlign w:val="center"/>
          </w:tcPr>
          <w:p w14:paraId="4F0DDB9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828" w:type="dxa"/>
            <w:tcBorders>
              <w:top w:val="single" w:color="000000" w:sz="6" w:space="0"/>
              <w:left w:val="single" w:color="000000" w:sz="6" w:space="0"/>
              <w:bottom w:val="single" w:color="000000" w:sz="6" w:space="0"/>
              <w:right w:val="single" w:color="000000" w:sz="6" w:space="0"/>
            </w:tcBorders>
            <w:vAlign w:val="center"/>
          </w:tcPr>
          <w:p w14:paraId="6B75A75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4A86449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29C240D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014E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F92E8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957" w:type="dxa"/>
            <w:tcBorders>
              <w:top w:val="single" w:color="000000" w:sz="6" w:space="0"/>
              <w:left w:val="single" w:color="000000" w:sz="6" w:space="0"/>
              <w:bottom w:val="single" w:color="000000" w:sz="6" w:space="0"/>
              <w:right w:val="single" w:color="000000" w:sz="6" w:space="0"/>
            </w:tcBorders>
            <w:vAlign w:val="center"/>
          </w:tcPr>
          <w:p w14:paraId="10B4632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828" w:type="dxa"/>
            <w:tcBorders>
              <w:top w:val="single" w:color="000000" w:sz="6" w:space="0"/>
              <w:left w:val="single" w:color="000000" w:sz="6" w:space="0"/>
              <w:bottom w:val="single" w:color="000000" w:sz="6" w:space="0"/>
              <w:right w:val="single" w:color="000000" w:sz="6" w:space="0"/>
            </w:tcBorders>
            <w:vAlign w:val="center"/>
          </w:tcPr>
          <w:p w14:paraId="00DDE35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6BED8BB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367E23E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00F4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0B447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957" w:type="dxa"/>
            <w:tcBorders>
              <w:top w:val="single" w:color="000000" w:sz="6" w:space="0"/>
              <w:left w:val="single" w:color="000000" w:sz="6" w:space="0"/>
              <w:bottom w:val="single" w:color="000000" w:sz="6" w:space="0"/>
              <w:right w:val="single" w:color="000000" w:sz="6" w:space="0"/>
            </w:tcBorders>
            <w:vAlign w:val="center"/>
          </w:tcPr>
          <w:p w14:paraId="2376F00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828" w:type="dxa"/>
            <w:tcBorders>
              <w:top w:val="single" w:color="000000" w:sz="6" w:space="0"/>
              <w:left w:val="single" w:color="000000" w:sz="6" w:space="0"/>
              <w:bottom w:val="single" w:color="000000" w:sz="6" w:space="0"/>
              <w:right w:val="single" w:color="000000" w:sz="6" w:space="0"/>
            </w:tcBorders>
            <w:vAlign w:val="center"/>
          </w:tcPr>
          <w:p w14:paraId="3E6D079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7F74EB2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16C49AE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F242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42CD8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957" w:type="dxa"/>
            <w:tcBorders>
              <w:top w:val="single" w:color="000000" w:sz="6" w:space="0"/>
              <w:left w:val="single" w:color="000000" w:sz="6" w:space="0"/>
              <w:bottom w:val="single" w:color="000000" w:sz="6" w:space="0"/>
              <w:right w:val="single" w:color="000000" w:sz="6" w:space="0"/>
            </w:tcBorders>
            <w:vAlign w:val="center"/>
          </w:tcPr>
          <w:p w14:paraId="4626856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828" w:type="dxa"/>
            <w:tcBorders>
              <w:top w:val="single" w:color="000000" w:sz="6" w:space="0"/>
              <w:left w:val="single" w:color="000000" w:sz="6" w:space="0"/>
              <w:bottom w:val="single" w:color="000000" w:sz="6" w:space="0"/>
              <w:right w:val="single" w:color="000000" w:sz="6" w:space="0"/>
            </w:tcBorders>
            <w:vAlign w:val="center"/>
          </w:tcPr>
          <w:p w14:paraId="4D43575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6D6B3D6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04D5965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1E81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06F4D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957" w:type="dxa"/>
            <w:tcBorders>
              <w:top w:val="single" w:color="000000" w:sz="6" w:space="0"/>
              <w:left w:val="single" w:color="000000" w:sz="6" w:space="0"/>
              <w:bottom w:val="single" w:color="000000" w:sz="6" w:space="0"/>
              <w:right w:val="single" w:color="000000" w:sz="6" w:space="0"/>
            </w:tcBorders>
            <w:vAlign w:val="center"/>
          </w:tcPr>
          <w:p w14:paraId="45B7D61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828" w:type="dxa"/>
            <w:tcBorders>
              <w:top w:val="single" w:color="000000" w:sz="6" w:space="0"/>
              <w:left w:val="single" w:color="000000" w:sz="6" w:space="0"/>
              <w:bottom w:val="single" w:color="000000" w:sz="6" w:space="0"/>
              <w:right w:val="single" w:color="000000" w:sz="6" w:space="0"/>
            </w:tcBorders>
            <w:vAlign w:val="center"/>
          </w:tcPr>
          <w:p w14:paraId="12ACC87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18CAB25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74EAA16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460A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268FE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957" w:type="dxa"/>
            <w:tcBorders>
              <w:top w:val="single" w:color="000000" w:sz="6" w:space="0"/>
              <w:left w:val="single" w:color="000000" w:sz="6" w:space="0"/>
              <w:bottom w:val="single" w:color="000000" w:sz="6" w:space="0"/>
              <w:right w:val="single" w:color="000000" w:sz="6" w:space="0"/>
            </w:tcBorders>
            <w:vAlign w:val="center"/>
          </w:tcPr>
          <w:p w14:paraId="42BC9A6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828" w:type="dxa"/>
            <w:tcBorders>
              <w:top w:val="single" w:color="000000" w:sz="6" w:space="0"/>
              <w:left w:val="single" w:color="000000" w:sz="6" w:space="0"/>
              <w:bottom w:val="single" w:color="000000" w:sz="6" w:space="0"/>
              <w:right w:val="single" w:color="000000" w:sz="6" w:space="0"/>
            </w:tcBorders>
            <w:vAlign w:val="center"/>
          </w:tcPr>
          <w:p w14:paraId="22FDA8C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76A033C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397B17A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E2C5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5E2AE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957" w:type="dxa"/>
            <w:tcBorders>
              <w:top w:val="single" w:color="000000" w:sz="6" w:space="0"/>
              <w:left w:val="single" w:color="000000" w:sz="6" w:space="0"/>
              <w:bottom w:val="single" w:color="000000" w:sz="6" w:space="0"/>
              <w:right w:val="single" w:color="000000" w:sz="6" w:space="0"/>
            </w:tcBorders>
            <w:vAlign w:val="center"/>
          </w:tcPr>
          <w:p w14:paraId="13DCE11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828" w:type="dxa"/>
            <w:tcBorders>
              <w:top w:val="single" w:color="000000" w:sz="6" w:space="0"/>
              <w:left w:val="single" w:color="000000" w:sz="6" w:space="0"/>
              <w:bottom w:val="single" w:color="000000" w:sz="6" w:space="0"/>
              <w:right w:val="single" w:color="000000" w:sz="6" w:space="0"/>
            </w:tcBorders>
            <w:vAlign w:val="center"/>
          </w:tcPr>
          <w:p w14:paraId="77C3821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1B22F22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right w:val="single" w:color="000000" w:sz="6" w:space="0"/>
            </w:tcBorders>
            <w:vAlign w:val="center"/>
          </w:tcPr>
          <w:p w14:paraId="6867D31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3D40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jc w:val="center"/>
        </w:trPr>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56023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957" w:type="dxa"/>
            <w:tcBorders>
              <w:top w:val="single" w:color="000000" w:sz="6" w:space="0"/>
              <w:left w:val="single" w:color="000000" w:sz="6" w:space="0"/>
              <w:bottom w:val="single" w:color="000000" w:sz="6" w:space="0"/>
              <w:right w:val="single" w:color="000000" w:sz="6" w:space="0"/>
            </w:tcBorders>
            <w:vAlign w:val="center"/>
          </w:tcPr>
          <w:p w14:paraId="4214303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828" w:type="dxa"/>
            <w:tcBorders>
              <w:top w:val="single" w:color="000000" w:sz="6" w:space="0"/>
              <w:left w:val="single" w:color="000000" w:sz="6" w:space="0"/>
              <w:bottom w:val="single" w:color="000000" w:sz="6" w:space="0"/>
              <w:right w:val="single" w:color="000000" w:sz="6" w:space="0"/>
            </w:tcBorders>
            <w:vAlign w:val="center"/>
          </w:tcPr>
          <w:p w14:paraId="149AE54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887" w:type="dxa"/>
            <w:tcBorders>
              <w:top w:val="single" w:color="000000" w:sz="6" w:space="0"/>
              <w:left w:val="single" w:color="000000" w:sz="6" w:space="0"/>
              <w:bottom w:val="single" w:color="000000" w:sz="6" w:space="0"/>
              <w:right w:val="single" w:color="000000" w:sz="6" w:space="0"/>
            </w:tcBorders>
            <w:vAlign w:val="center"/>
          </w:tcPr>
          <w:p w14:paraId="0600E88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562" w:type="dxa"/>
            <w:vMerge w:val="continue"/>
            <w:tcBorders>
              <w:left w:val="single" w:color="000000" w:sz="6" w:space="0"/>
              <w:bottom w:val="single" w:color="000000" w:sz="6" w:space="0"/>
              <w:right w:val="single" w:color="000000" w:sz="6" w:space="0"/>
            </w:tcBorders>
            <w:vAlign w:val="center"/>
          </w:tcPr>
          <w:p w14:paraId="68021A9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bl>
    <w:p w14:paraId="5C8C89FB">
      <w:pPr>
        <w:pStyle w:val="3"/>
        <w:pageBreakBefore w:val="0"/>
        <w:kinsoku/>
        <w:wordWrap/>
        <w:overflowPunct/>
        <w:topLinePunct w:val="0"/>
        <w:bidi w:val="0"/>
        <w:spacing w:before="0" w:beforeLines="0" w:after="0" w:afterLines="0" w:line="360" w:lineRule="exact"/>
        <w:ind w:firstLine="482"/>
        <w:rPr>
          <w:rFonts w:hint="default" w:ascii="Times New Roman" w:hAnsi="Times New Roman" w:eastAsia="宋体"/>
          <w:kern w:val="2"/>
          <w:sz w:val="24"/>
          <w:szCs w:val="24"/>
          <w:lang w:val="en-US" w:eastAsia="zh-CN"/>
        </w:rPr>
      </w:pPr>
      <w:r>
        <w:rPr>
          <w:rFonts w:ascii="Times New Roman" w:hAnsi="Times New Roman"/>
          <w:kern w:val="2"/>
          <w:sz w:val="24"/>
          <w:szCs w:val="24"/>
        </w:rPr>
        <w:t>八、</w:t>
      </w:r>
      <w:r>
        <w:rPr>
          <w:rFonts w:hint="eastAsia" w:ascii="Times New Roman" w:hAnsi="Times New Roman"/>
          <w:kern w:val="2"/>
          <w:sz w:val="24"/>
          <w:szCs w:val="24"/>
          <w:lang w:val="en-US" w:eastAsia="zh-CN"/>
        </w:rPr>
        <w:t>质量</w:t>
      </w:r>
      <w:r>
        <w:rPr>
          <w:rFonts w:ascii="Times New Roman" w:hAnsi="Times New Roman"/>
          <w:kern w:val="2"/>
          <w:sz w:val="24"/>
          <w:szCs w:val="24"/>
        </w:rPr>
        <w:t>保障</w:t>
      </w:r>
      <w:r>
        <w:rPr>
          <w:rFonts w:hint="eastAsia" w:ascii="Times New Roman" w:hAnsi="Times New Roman"/>
          <w:kern w:val="2"/>
          <w:sz w:val="24"/>
          <w:szCs w:val="24"/>
          <w:lang w:val="en-US" w:eastAsia="zh-CN"/>
        </w:rPr>
        <w:t>和毕业要求</w:t>
      </w:r>
    </w:p>
    <w:p w14:paraId="6C3C6BE6">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主要包括师资队伍、教学设施、教学资源、教学方法、学习评价、质量管理等方面。</w:t>
      </w:r>
    </w:p>
    <w:p w14:paraId="07EDFC10">
      <w:pPr>
        <w:pageBreakBefore w:val="0"/>
        <w:kinsoku/>
        <w:wordWrap/>
        <w:overflowPunct/>
        <w:topLinePunct w:val="0"/>
        <w:bidi w:val="0"/>
        <w:adjustRightInd w:val="0"/>
        <w:snapToGrid w:val="0"/>
        <w:spacing w:line="360" w:lineRule="exact"/>
        <w:ind w:firstLine="422" w:firstLineChars="200"/>
        <w:rPr>
          <w:b/>
          <w:bCs/>
          <w:szCs w:val="21"/>
        </w:rPr>
      </w:pPr>
      <w:bookmarkStart w:id="48" w:name="_Toc14624"/>
      <w:bookmarkStart w:id="49" w:name="_Toc10563"/>
      <w:r>
        <w:rPr>
          <w:rFonts w:hint="eastAsia"/>
          <w:b/>
          <w:bCs/>
          <w:szCs w:val="21"/>
        </w:rPr>
        <w:t>（一）师资队伍</w:t>
      </w:r>
      <w:bookmarkEnd w:id="48"/>
      <w:bookmarkEnd w:id="49"/>
    </w:p>
    <w:p w14:paraId="7B2B323B">
      <w:pPr>
        <w:pageBreakBefore w:val="0"/>
        <w:kinsoku/>
        <w:wordWrap/>
        <w:overflowPunct/>
        <w:topLinePunct w:val="0"/>
        <w:bidi w:val="0"/>
        <w:adjustRightInd w:val="0"/>
        <w:snapToGrid w:val="0"/>
        <w:spacing w:line="360" w:lineRule="exact"/>
        <w:ind w:firstLine="420" w:firstLineChars="200"/>
        <w:rPr>
          <w:rFonts w:ascii="宋体" w:hAnsi="宋体" w:cs="宋体"/>
          <w:szCs w:val="21"/>
        </w:rPr>
      </w:pPr>
      <w:r>
        <w:rPr>
          <w:rFonts w:ascii="宋体" w:hAnsi="宋体" w:cs="宋体"/>
          <w:szCs w:val="21"/>
        </w:rPr>
        <w:t>按照“四有好老师”“四个相统一”“四个引路人”的要求建设专业教师队伍，将师德师 风作为教师队伍建设的第一标准</w:t>
      </w:r>
      <w:r>
        <w:rPr>
          <w:rFonts w:hint="eastAsia" w:ascii="宋体" w:hAnsi="宋体" w:cs="宋体"/>
          <w:szCs w:val="21"/>
        </w:rPr>
        <w:t>。</w:t>
      </w:r>
    </w:p>
    <w:p w14:paraId="1114DC96">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 xml:space="preserve">1.队伍结构 </w:t>
      </w:r>
    </w:p>
    <w:p w14:paraId="73B05ABB">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按照“四有好老师”“四个相统一”“四个引路人”的要求，建设专业队伍，将师德师风作为教师队伍建设的第一标准。同时也加强教师能力建设，培养高质量高水平的教师队伍，提高教师职称水平，倡导双师型教师队伍建设。</w:t>
      </w:r>
    </w:p>
    <w:tbl>
      <w:tblPr>
        <w:tblStyle w:val="14"/>
        <w:tblW w:w="4778" w:type="pct"/>
        <w:jc w:val="center"/>
        <w:tblLayout w:type="autofit"/>
        <w:tblCellMar>
          <w:top w:w="0" w:type="dxa"/>
          <w:left w:w="108" w:type="dxa"/>
          <w:bottom w:w="0" w:type="dxa"/>
          <w:right w:w="108" w:type="dxa"/>
        </w:tblCellMar>
      </w:tblPr>
      <w:tblGrid>
        <w:gridCol w:w="1906"/>
        <w:gridCol w:w="1854"/>
        <w:gridCol w:w="1967"/>
        <w:gridCol w:w="1602"/>
        <w:gridCol w:w="1547"/>
      </w:tblGrid>
      <w:tr w14:paraId="6B3A8A29">
        <w:tblPrEx>
          <w:tblCellMar>
            <w:top w:w="0" w:type="dxa"/>
            <w:left w:w="108" w:type="dxa"/>
            <w:bottom w:w="0" w:type="dxa"/>
            <w:right w:w="108" w:type="dxa"/>
          </w:tblCellMar>
        </w:tblPrEx>
        <w:trPr>
          <w:trHeight w:val="418" w:hRule="atLeast"/>
          <w:jc w:val="center"/>
        </w:trPr>
        <w:tc>
          <w:tcPr>
            <w:tcW w:w="3226" w:type="pct"/>
            <w:gridSpan w:val="3"/>
            <w:tcBorders>
              <w:top w:val="single" w:color="000000" w:sz="4" w:space="0"/>
              <w:left w:val="single" w:color="000000" w:sz="4" w:space="0"/>
              <w:bottom w:val="single" w:color="000000" w:sz="4" w:space="0"/>
              <w:right w:val="single" w:color="auto" w:sz="4" w:space="0"/>
            </w:tcBorders>
            <w:vAlign w:val="center"/>
          </w:tcPr>
          <w:p w14:paraId="2CEA9749">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专业课程教师配置总数：24人</w:t>
            </w:r>
          </w:p>
        </w:tc>
        <w:tc>
          <w:tcPr>
            <w:tcW w:w="1773" w:type="pct"/>
            <w:gridSpan w:val="2"/>
            <w:tcBorders>
              <w:top w:val="single" w:color="000000" w:sz="4" w:space="0"/>
              <w:left w:val="single" w:color="auto" w:sz="4" w:space="0"/>
              <w:bottom w:val="single" w:color="000000" w:sz="4" w:space="0"/>
              <w:right w:val="single" w:color="000000" w:sz="4" w:space="0"/>
            </w:tcBorders>
            <w:vAlign w:val="center"/>
          </w:tcPr>
          <w:p w14:paraId="1100672B">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师生比：1:25</w:t>
            </w:r>
          </w:p>
        </w:tc>
      </w:tr>
      <w:tr w14:paraId="6455D2A9">
        <w:tblPrEx>
          <w:tblCellMar>
            <w:top w:w="0" w:type="dxa"/>
            <w:left w:w="108" w:type="dxa"/>
            <w:bottom w:w="0" w:type="dxa"/>
            <w:right w:w="108" w:type="dxa"/>
          </w:tblCellMar>
        </w:tblPrEx>
        <w:trPr>
          <w:trHeight w:val="360" w:hRule="atLeast"/>
          <w:jc w:val="center"/>
        </w:trPr>
        <w:tc>
          <w:tcPr>
            <w:tcW w:w="1074" w:type="pct"/>
            <w:tcBorders>
              <w:top w:val="single" w:color="000000" w:sz="4" w:space="0"/>
              <w:left w:val="single" w:color="000000" w:sz="4" w:space="0"/>
              <w:bottom w:val="single" w:color="000000" w:sz="4" w:space="0"/>
              <w:right w:val="single" w:color="auto" w:sz="4" w:space="0"/>
            </w:tcBorders>
            <w:vAlign w:val="center"/>
          </w:tcPr>
          <w:p w14:paraId="3CBC0236">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结构类型</w:t>
            </w:r>
          </w:p>
        </w:tc>
        <w:tc>
          <w:tcPr>
            <w:tcW w:w="1043" w:type="pct"/>
            <w:tcBorders>
              <w:top w:val="single" w:color="000000" w:sz="4" w:space="0"/>
              <w:left w:val="single" w:color="auto" w:sz="4" w:space="0"/>
              <w:bottom w:val="single" w:color="000000" w:sz="4" w:space="0"/>
              <w:right w:val="single" w:color="auto" w:sz="4" w:space="0"/>
            </w:tcBorders>
            <w:vAlign w:val="center"/>
          </w:tcPr>
          <w:p w14:paraId="713E2D9F">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类别</w:t>
            </w:r>
          </w:p>
        </w:tc>
        <w:tc>
          <w:tcPr>
            <w:tcW w:w="1108" w:type="pct"/>
            <w:tcBorders>
              <w:top w:val="single" w:color="000000" w:sz="4" w:space="0"/>
              <w:left w:val="single" w:color="auto" w:sz="4" w:space="0"/>
              <w:bottom w:val="single" w:color="000000" w:sz="4" w:space="0"/>
              <w:right w:val="single" w:color="000000" w:sz="4" w:space="0"/>
            </w:tcBorders>
            <w:vAlign w:val="center"/>
          </w:tcPr>
          <w:p w14:paraId="34555F15">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人数</w:t>
            </w:r>
          </w:p>
        </w:tc>
        <w:tc>
          <w:tcPr>
            <w:tcW w:w="902" w:type="pct"/>
            <w:tcBorders>
              <w:top w:val="single" w:color="000000" w:sz="4" w:space="0"/>
              <w:left w:val="single" w:color="000000" w:sz="4" w:space="0"/>
              <w:bottom w:val="single" w:color="000000" w:sz="4" w:space="0"/>
              <w:right w:val="single" w:color="000000" w:sz="4" w:space="0"/>
            </w:tcBorders>
            <w:vAlign w:val="center"/>
          </w:tcPr>
          <w:p w14:paraId="7EF0F19F">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比例（%)</w:t>
            </w:r>
          </w:p>
        </w:tc>
        <w:tc>
          <w:tcPr>
            <w:tcW w:w="871" w:type="pct"/>
            <w:tcBorders>
              <w:top w:val="single" w:color="000000" w:sz="4" w:space="0"/>
              <w:left w:val="single" w:color="000000" w:sz="4" w:space="0"/>
              <w:bottom w:val="single" w:color="000000" w:sz="4" w:space="0"/>
              <w:right w:val="single" w:color="000000" w:sz="4" w:space="0"/>
            </w:tcBorders>
            <w:vAlign w:val="center"/>
          </w:tcPr>
          <w:p w14:paraId="529F05C8">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备注</w:t>
            </w:r>
          </w:p>
        </w:tc>
      </w:tr>
      <w:tr w14:paraId="2E7C1C96">
        <w:tblPrEx>
          <w:tblCellMar>
            <w:top w:w="0" w:type="dxa"/>
            <w:left w:w="108" w:type="dxa"/>
            <w:bottom w:w="0" w:type="dxa"/>
            <w:right w:w="108" w:type="dxa"/>
          </w:tblCellMar>
        </w:tblPrEx>
        <w:trPr>
          <w:trHeight w:val="360" w:hRule="atLeast"/>
          <w:jc w:val="center"/>
        </w:trPr>
        <w:tc>
          <w:tcPr>
            <w:tcW w:w="1074" w:type="pct"/>
            <w:vMerge w:val="restart"/>
            <w:tcBorders>
              <w:top w:val="single" w:color="000000" w:sz="4" w:space="0"/>
              <w:left w:val="single" w:color="000000" w:sz="4" w:space="0"/>
              <w:bottom w:val="single" w:color="000000" w:sz="4" w:space="0"/>
              <w:right w:val="single" w:color="000000" w:sz="4" w:space="0"/>
            </w:tcBorders>
            <w:vAlign w:val="center"/>
          </w:tcPr>
          <w:p w14:paraId="2E93902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职称结构</w:t>
            </w:r>
          </w:p>
        </w:tc>
        <w:tc>
          <w:tcPr>
            <w:tcW w:w="1043" w:type="pct"/>
            <w:tcBorders>
              <w:top w:val="single" w:color="000000" w:sz="4" w:space="0"/>
              <w:left w:val="single" w:color="000000" w:sz="4" w:space="0"/>
              <w:bottom w:val="single" w:color="000000" w:sz="4" w:space="0"/>
              <w:right w:val="single" w:color="000000" w:sz="4" w:space="0"/>
            </w:tcBorders>
            <w:vAlign w:val="center"/>
          </w:tcPr>
          <w:p w14:paraId="3C06B91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教授</w:t>
            </w:r>
          </w:p>
        </w:tc>
        <w:tc>
          <w:tcPr>
            <w:tcW w:w="1108" w:type="pct"/>
            <w:tcBorders>
              <w:top w:val="single" w:color="000000" w:sz="4" w:space="0"/>
              <w:left w:val="single" w:color="000000" w:sz="4" w:space="0"/>
              <w:bottom w:val="single" w:color="000000" w:sz="4" w:space="0"/>
              <w:right w:val="single" w:color="000000" w:sz="4" w:space="0"/>
            </w:tcBorders>
            <w:vAlign w:val="center"/>
          </w:tcPr>
          <w:p w14:paraId="5BC96C3A">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1</w:t>
            </w:r>
          </w:p>
        </w:tc>
        <w:tc>
          <w:tcPr>
            <w:tcW w:w="902" w:type="pct"/>
            <w:tcBorders>
              <w:top w:val="single" w:color="000000" w:sz="4" w:space="0"/>
              <w:left w:val="single" w:color="000000" w:sz="4" w:space="0"/>
              <w:bottom w:val="single" w:color="000000" w:sz="4" w:space="0"/>
              <w:right w:val="single" w:color="000000" w:sz="4" w:space="0"/>
            </w:tcBorders>
            <w:vAlign w:val="center"/>
          </w:tcPr>
          <w:p w14:paraId="16C5E5AA">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4%</w:t>
            </w:r>
          </w:p>
        </w:tc>
        <w:tc>
          <w:tcPr>
            <w:tcW w:w="871" w:type="pct"/>
            <w:tcBorders>
              <w:top w:val="single" w:color="000000" w:sz="4" w:space="0"/>
              <w:left w:val="single" w:color="000000" w:sz="4" w:space="0"/>
              <w:bottom w:val="single" w:color="000000" w:sz="4" w:space="0"/>
              <w:right w:val="single" w:color="000000" w:sz="4" w:space="0"/>
            </w:tcBorders>
          </w:tcPr>
          <w:p w14:paraId="60997058">
            <w:pPr>
              <w:pageBreakBefore w:val="0"/>
              <w:kinsoku/>
              <w:wordWrap/>
              <w:overflowPunct/>
              <w:topLinePunct w:val="0"/>
              <w:bidi w:val="0"/>
              <w:spacing w:line="360" w:lineRule="exact"/>
              <w:jc w:val="center"/>
              <w:rPr>
                <w:rFonts w:ascii="宋体" w:hAnsi="宋体" w:cs="宋体"/>
                <w:sz w:val="18"/>
                <w:szCs w:val="18"/>
              </w:rPr>
            </w:pPr>
          </w:p>
        </w:tc>
      </w:tr>
      <w:tr w14:paraId="43E011F6">
        <w:tblPrEx>
          <w:tblCellMar>
            <w:top w:w="0" w:type="dxa"/>
            <w:left w:w="108" w:type="dxa"/>
            <w:bottom w:w="0" w:type="dxa"/>
            <w:right w:w="108" w:type="dxa"/>
          </w:tblCellMar>
        </w:tblPrEx>
        <w:trPr>
          <w:trHeight w:val="360" w:hRule="atLeast"/>
          <w:jc w:val="center"/>
        </w:trPr>
        <w:tc>
          <w:tcPr>
            <w:tcW w:w="1074" w:type="pct"/>
            <w:vMerge w:val="continue"/>
            <w:tcBorders>
              <w:top w:val="single" w:color="000000" w:sz="4" w:space="0"/>
              <w:left w:val="single" w:color="000000" w:sz="4" w:space="0"/>
              <w:bottom w:val="single" w:color="000000" w:sz="4" w:space="0"/>
              <w:right w:val="single" w:color="000000" w:sz="4" w:space="0"/>
            </w:tcBorders>
            <w:vAlign w:val="center"/>
          </w:tcPr>
          <w:p w14:paraId="4D2A2C01">
            <w:pPr>
              <w:pageBreakBefore w:val="0"/>
              <w:kinsoku/>
              <w:wordWrap/>
              <w:overflowPunct/>
              <w:topLinePunct w:val="0"/>
              <w:bidi w:val="0"/>
              <w:spacing w:line="360" w:lineRule="exact"/>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4E26A74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副教授</w:t>
            </w:r>
          </w:p>
        </w:tc>
        <w:tc>
          <w:tcPr>
            <w:tcW w:w="1108" w:type="pct"/>
            <w:tcBorders>
              <w:top w:val="single" w:color="000000" w:sz="4" w:space="0"/>
              <w:left w:val="single" w:color="000000" w:sz="4" w:space="0"/>
              <w:bottom w:val="single" w:color="000000" w:sz="4" w:space="0"/>
              <w:right w:val="single" w:color="000000" w:sz="4" w:space="0"/>
            </w:tcBorders>
            <w:vAlign w:val="center"/>
          </w:tcPr>
          <w:p w14:paraId="3437397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902" w:type="pct"/>
            <w:tcBorders>
              <w:top w:val="single" w:color="000000" w:sz="4" w:space="0"/>
              <w:left w:val="single" w:color="000000" w:sz="4" w:space="0"/>
              <w:bottom w:val="single" w:color="000000" w:sz="4" w:space="0"/>
              <w:right w:val="single" w:color="000000" w:sz="4" w:space="0"/>
            </w:tcBorders>
            <w:vAlign w:val="center"/>
          </w:tcPr>
          <w:p w14:paraId="57D98F2E">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16%</w:t>
            </w:r>
          </w:p>
        </w:tc>
        <w:tc>
          <w:tcPr>
            <w:tcW w:w="871" w:type="pct"/>
            <w:tcBorders>
              <w:top w:val="single" w:color="000000" w:sz="4" w:space="0"/>
              <w:left w:val="single" w:color="000000" w:sz="4" w:space="0"/>
              <w:bottom w:val="single" w:color="000000" w:sz="4" w:space="0"/>
              <w:right w:val="single" w:color="000000" w:sz="4" w:space="0"/>
            </w:tcBorders>
          </w:tcPr>
          <w:p w14:paraId="006BEF10">
            <w:pPr>
              <w:pageBreakBefore w:val="0"/>
              <w:kinsoku/>
              <w:wordWrap/>
              <w:overflowPunct/>
              <w:topLinePunct w:val="0"/>
              <w:bidi w:val="0"/>
              <w:spacing w:line="360" w:lineRule="exact"/>
              <w:jc w:val="center"/>
              <w:rPr>
                <w:rFonts w:ascii="宋体" w:hAnsi="宋体" w:cs="宋体"/>
                <w:sz w:val="18"/>
                <w:szCs w:val="18"/>
              </w:rPr>
            </w:pPr>
          </w:p>
        </w:tc>
      </w:tr>
      <w:tr w14:paraId="75F90474">
        <w:tblPrEx>
          <w:tblCellMar>
            <w:top w:w="0" w:type="dxa"/>
            <w:left w:w="108" w:type="dxa"/>
            <w:bottom w:w="0" w:type="dxa"/>
            <w:right w:w="108" w:type="dxa"/>
          </w:tblCellMar>
        </w:tblPrEx>
        <w:trPr>
          <w:trHeight w:val="360" w:hRule="atLeast"/>
          <w:jc w:val="center"/>
        </w:trPr>
        <w:tc>
          <w:tcPr>
            <w:tcW w:w="1074" w:type="pct"/>
            <w:vMerge w:val="continue"/>
            <w:tcBorders>
              <w:top w:val="single" w:color="000000" w:sz="4" w:space="0"/>
              <w:left w:val="single" w:color="000000" w:sz="4" w:space="0"/>
              <w:bottom w:val="single" w:color="000000" w:sz="4" w:space="0"/>
              <w:right w:val="single" w:color="000000" w:sz="4" w:space="0"/>
            </w:tcBorders>
            <w:vAlign w:val="center"/>
          </w:tcPr>
          <w:p w14:paraId="67E294E9">
            <w:pPr>
              <w:pageBreakBefore w:val="0"/>
              <w:kinsoku/>
              <w:wordWrap/>
              <w:overflowPunct/>
              <w:topLinePunct w:val="0"/>
              <w:bidi w:val="0"/>
              <w:spacing w:line="360" w:lineRule="exact"/>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7B4FFBF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讲师</w:t>
            </w:r>
          </w:p>
        </w:tc>
        <w:tc>
          <w:tcPr>
            <w:tcW w:w="1108" w:type="pct"/>
            <w:tcBorders>
              <w:top w:val="single" w:color="000000" w:sz="4" w:space="0"/>
              <w:left w:val="single" w:color="000000" w:sz="4" w:space="0"/>
              <w:bottom w:val="single" w:color="000000" w:sz="4" w:space="0"/>
              <w:right w:val="single" w:color="000000" w:sz="4" w:space="0"/>
            </w:tcBorders>
            <w:vAlign w:val="center"/>
          </w:tcPr>
          <w:p w14:paraId="07765E5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12</w:t>
            </w:r>
          </w:p>
        </w:tc>
        <w:tc>
          <w:tcPr>
            <w:tcW w:w="902" w:type="pct"/>
            <w:tcBorders>
              <w:top w:val="single" w:color="000000" w:sz="4" w:space="0"/>
              <w:left w:val="single" w:color="000000" w:sz="4" w:space="0"/>
              <w:bottom w:val="single" w:color="000000" w:sz="4" w:space="0"/>
              <w:right w:val="single" w:color="000000" w:sz="4" w:space="0"/>
            </w:tcBorders>
            <w:vAlign w:val="center"/>
          </w:tcPr>
          <w:p w14:paraId="069C7428">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50%</w:t>
            </w:r>
          </w:p>
        </w:tc>
        <w:tc>
          <w:tcPr>
            <w:tcW w:w="871" w:type="pct"/>
            <w:tcBorders>
              <w:top w:val="single" w:color="000000" w:sz="4" w:space="0"/>
              <w:left w:val="single" w:color="000000" w:sz="4" w:space="0"/>
              <w:bottom w:val="single" w:color="000000" w:sz="4" w:space="0"/>
              <w:right w:val="single" w:color="000000" w:sz="4" w:space="0"/>
            </w:tcBorders>
          </w:tcPr>
          <w:p w14:paraId="160A624F">
            <w:pPr>
              <w:pageBreakBefore w:val="0"/>
              <w:kinsoku/>
              <w:wordWrap/>
              <w:overflowPunct/>
              <w:topLinePunct w:val="0"/>
              <w:bidi w:val="0"/>
              <w:spacing w:line="360" w:lineRule="exact"/>
              <w:jc w:val="center"/>
              <w:rPr>
                <w:rFonts w:ascii="宋体" w:hAnsi="宋体" w:cs="宋体"/>
                <w:sz w:val="18"/>
                <w:szCs w:val="18"/>
              </w:rPr>
            </w:pPr>
          </w:p>
        </w:tc>
      </w:tr>
      <w:tr w14:paraId="7B46F608">
        <w:tblPrEx>
          <w:tblCellMar>
            <w:top w:w="0" w:type="dxa"/>
            <w:left w:w="108" w:type="dxa"/>
            <w:bottom w:w="0" w:type="dxa"/>
            <w:right w:w="108" w:type="dxa"/>
          </w:tblCellMar>
        </w:tblPrEx>
        <w:trPr>
          <w:trHeight w:val="360" w:hRule="atLeast"/>
          <w:jc w:val="center"/>
        </w:trPr>
        <w:tc>
          <w:tcPr>
            <w:tcW w:w="1074" w:type="pct"/>
            <w:vMerge w:val="continue"/>
            <w:tcBorders>
              <w:top w:val="single" w:color="000000" w:sz="4" w:space="0"/>
              <w:left w:val="single" w:color="000000" w:sz="4" w:space="0"/>
              <w:bottom w:val="single" w:color="000000" w:sz="4" w:space="0"/>
              <w:right w:val="single" w:color="000000" w:sz="4" w:space="0"/>
            </w:tcBorders>
            <w:vAlign w:val="center"/>
          </w:tcPr>
          <w:p w14:paraId="266E9645">
            <w:pPr>
              <w:pageBreakBefore w:val="0"/>
              <w:kinsoku/>
              <w:wordWrap/>
              <w:overflowPunct/>
              <w:topLinePunct w:val="0"/>
              <w:bidi w:val="0"/>
              <w:spacing w:line="360" w:lineRule="exact"/>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341D95E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初级</w:t>
            </w:r>
          </w:p>
        </w:tc>
        <w:tc>
          <w:tcPr>
            <w:tcW w:w="1108" w:type="pct"/>
            <w:tcBorders>
              <w:top w:val="single" w:color="000000" w:sz="4" w:space="0"/>
              <w:left w:val="single" w:color="000000" w:sz="4" w:space="0"/>
              <w:bottom w:val="single" w:color="000000" w:sz="4" w:space="0"/>
              <w:right w:val="single" w:color="000000" w:sz="4" w:space="0"/>
            </w:tcBorders>
            <w:vAlign w:val="center"/>
          </w:tcPr>
          <w:p w14:paraId="10A44FE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7</w:t>
            </w:r>
          </w:p>
        </w:tc>
        <w:tc>
          <w:tcPr>
            <w:tcW w:w="902" w:type="pct"/>
            <w:tcBorders>
              <w:top w:val="single" w:color="000000" w:sz="4" w:space="0"/>
              <w:left w:val="single" w:color="000000" w:sz="4" w:space="0"/>
              <w:bottom w:val="single" w:color="000000" w:sz="4" w:space="0"/>
              <w:right w:val="single" w:color="000000" w:sz="4" w:space="0"/>
            </w:tcBorders>
            <w:vAlign w:val="center"/>
          </w:tcPr>
          <w:p w14:paraId="026A8DF5">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29%</w:t>
            </w:r>
          </w:p>
        </w:tc>
        <w:tc>
          <w:tcPr>
            <w:tcW w:w="871" w:type="pct"/>
            <w:tcBorders>
              <w:top w:val="single" w:color="000000" w:sz="4" w:space="0"/>
              <w:left w:val="single" w:color="000000" w:sz="4" w:space="0"/>
              <w:bottom w:val="single" w:color="000000" w:sz="4" w:space="0"/>
              <w:right w:val="single" w:color="000000" w:sz="4" w:space="0"/>
            </w:tcBorders>
          </w:tcPr>
          <w:p w14:paraId="796EBE72">
            <w:pPr>
              <w:pageBreakBefore w:val="0"/>
              <w:kinsoku/>
              <w:wordWrap/>
              <w:overflowPunct/>
              <w:topLinePunct w:val="0"/>
              <w:bidi w:val="0"/>
              <w:spacing w:line="360" w:lineRule="exact"/>
              <w:jc w:val="center"/>
              <w:rPr>
                <w:rFonts w:ascii="宋体" w:hAnsi="宋体" w:cs="宋体"/>
                <w:sz w:val="18"/>
                <w:szCs w:val="18"/>
              </w:rPr>
            </w:pPr>
          </w:p>
        </w:tc>
      </w:tr>
      <w:tr w14:paraId="594E5F7B">
        <w:tblPrEx>
          <w:tblCellMar>
            <w:top w:w="0" w:type="dxa"/>
            <w:left w:w="108" w:type="dxa"/>
            <w:bottom w:w="0" w:type="dxa"/>
            <w:right w:w="108" w:type="dxa"/>
          </w:tblCellMar>
        </w:tblPrEx>
        <w:trPr>
          <w:trHeight w:val="360" w:hRule="atLeast"/>
          <w:jc w:val="center"/>
        </w:trPr>
        <w:tc>
          <w:tcPr>
            <w:tcW w:w="1074" w:type="pct"/>
            <w:vMerge w:val="restart"/>
            <w:tcBorders>
              <w:top w:val="single" w:color="000000" w:sz="4" w:space="0"/>
              <w:left w:val="single" w:color="000000" w:sz="4" w:space="0"/>
              <w:bottom w:val="single" w:color="000000" w:sz="4" w:space="0"/>
              <w:right w:val="single" w:color="000000" w:sz="4" w:space="0"/>
            </w:tcBorders>
            <w:vAlign w:val="center"/>
          </w:tcPr>
          <w:p w14:paraId="5821AB2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学位结构</w:t>
            </w:r>
          </w:p>
        </w:tc>
        <w:tc>
          <w:tcPr>
            <w:tcW w:w="1043" w:type="pct"/>
            <w:tcBorders>
              <w:top w:val="single" w:color="000000" w:sz="4" w:space="0"/>
              <w:left w:val="single" w:color="000000" w:sz="4" w:space="0"/>
              <w:bottom w:val="single" w:color="000000" w:sz="4" w:space="0"/>
              <w:right w:val="single" w:color="000000" w:sz="4" w:space="0"/>
            </w:tcBorders>
            <w:vAlign w:val="center"/>
          </w:tcPr>
          <w:p w14:paraId="039726C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博士</w:t>
            </w:r>
          </w:p>
        </w:tc>
        <w:tc>
          <w:tcPr>
            <w:tcW w:w="1108" w:type="pct"/>
            <w:tcBorders>
              <w:top w:val="single" w:color="000000" w:sz="4" w:space="0"/>
              <w:left w:val="single" w:color="000000" w:sz="4" w:space="0"/>
              <w:bottom w:val="single" w:color="000000" w:sz="4" w:space="0"/>
              <w:right w:val="single" w:color="000000" w:sz="4" w:space="0"/>
            </w:tcBorders>
            <w:vAlign w:val="center"/>
          </w:tcPr>
          <w:p w14:paraId="1724EDE6">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1</w:t>
            </w:r>
          </w:p>
        </w:tc>
        <w:tc>
          <w:tcPr>
            <w:tcW w:w="902" w:type="pct"/>
            <w:tcBorders>
              <w:top w:val="single" w:color="000000" w:sz="4" w:space="0"/>
              <w:left w:val="single" w:color="000000" w:sz="4" w:space="0"/>
              <w:bottom w:val="single" w:color="000000" w:sz="4" w:space="0"/>
              <w:right w:val="single" w:color="000000" w:sz="4" w:space="0"/>
            </w:tcBorders>
            <w:vAlign w:val="center"/>
          </w:tcPr>
          <w:p w14:paraId="31F5136D">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4%</w:t>
            </w:r>
          </w:p>
        </w:tc>
        <w:tc>
          <w:tcPr>
            <w:tcW w:w="871" w:type="pct"/>
            <w:tcBorders>
              <w:top w:val="single" w:color="000000" w:sz="4" w:space="0"/>
              <w:left w:val="single" w:color="000000" w:sz="4" w:space="0"/>
              <w:bottom w:val="single" w:color="000000" w:sz="4" w:space="0"/>
              <w:right w:val="single" w:color="000000" w:sz="4" w:space="0"/>
            </w:tcBorders>
          </w:tcPr>
          <w:p w14:paraId="54F72960">
            <w:pPr>
              <w:pageBreakBefore w:val="0"/>
              <w:kinsoku/>
              <w:wordWrap/>
              <w:overflowPunct/>
              <w:topLinePunct w:val="0"/>
              <w:bidi w:val="0"/>
              <w:spacing w:line="360" w:lineRule="exact"/>
              <w:jc w:val="center"/>
              <w:rPr>
                <w:rFonts w:ascii="宋体" w:hAnsi="宋体" w:cs="宋体"/>
                <w:sz w:val="18"/>
                <w:szCs w:val="18"/>
              </w:rPr>
            </w:pPr>
          </w:p>
        </w:tc>
      </w:tr>
      <w:tr w14:paraId="45441A67">
        <w:tblPrEx>
          <w:tblCellMar>
            <w:top w:w="0" w:type="dxa"/>
            <w:left w:w="108" w:type="dxa"/>
            <w:bottom w:w="0" w:type="dxa"/>
            <w:right w:w="108" w:type="dxa"/>
          </w:tblCellMar>
        </w:tblPrEx>
        <w:trPr>
          <w:trHeight w:val="360" w:hRule="atLeast"/>
          <w:jc w:val="center"/>
        </w:trPr>
        <w:tc>
          <w:tcPr>
            <w:tcW w:w="1074" w:type="pct"/>
            <w:vMerge w:val="continue"/>
            <w:tcBorders>
              <w:top w:val="single" w:color="000000" w:sz="4" w:space="0"/>
              <w:left w:val="single" w:color="000000" w:sz="4" w:space="0"/>
              <w:bottom w:val="single" w:color="000000" w:sz="4" w:space="0"/>
              <w:right w:val="single" w:color="000000" w:sz="4" w:space="0"/>
            </w:tcBorders>
            <w:vAlign w:val="center"/>
          </w:tcPr>
          <w:p w14:paraId="014A694F">
            <w:pPr>
              <w:pageBreakBefore w:val="0"/>
              <w:kinsoku/>
              <w:wordWrap/>
              <w:overflowPunct/>
              <w:topLinePunct w:val="0"/>
              <w:bidi w:val="0"/>
              <w:spacing w:line="360" w:lineRule="exact"/>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477637D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硕士</w:t>
            </w:r>
          </w:p>
        </w:tc>
        <w:tc>
          <w:tcPr>
            <w:tcW w:w="1108" w:type="pct"/>
            <w:tcBorders>
              <w:top w:val="single" w:color="000000" w:sz="4" w:space="0"/>
              <w:left w:val="single" w:color="000000" w:sz="4" w:space="0"/>
              <w:bottom w:val="single" w:color="000000" w:sz="4" w:space="0"/>
              <w:right w:val="single" w:color="000000" w:sz="4" w:space="0"/>
            </w:tcBorders>
            <w:vAlign w:val="center"/>
          </w:tcPr>
          <w:p w14:paraId="4355679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17</w:t>
            </w:r>
          </w:p>
        </w:tc>
        <w:tc>
          <w:tcPr>
            <w:tcW w:w="902" w:type="pct"/>
            <w:tcBorders>
              <w:top w:val="single" w:color="000000" w:sz="4" w:space="0"/>
              <w:left w:val="single" w:color="000000" w:sz="4" w:space="0"/>
              <w:bottom w:val="single" w:color="000000" w:sz="4" w:space="0"/>
              <w:right w:val="single" w:color="000000" w:sz="4" w:space="0"/>
            </w:tcBorders>
            <w:vAlign w:val="center"/>
          </w:tcPr>
          <w:p w14:paraId="11D1FD7F">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70%</w:t>
            </w:r>
          </w:p>
        </w:tc>
        <w:tc>
          <w:tcPr>
            <w:tcW w:w="871" w:type="pct"/>
            <w:tcBorders>
              <w:top w:val="single" w:color="000000" w:sz="4" w:space="0"/>
              <w:left w:val="single" w:color="000000" w:sz="4" w:space="0"/>
              <w:bottom w:val="single" w:color="000000" w:sz="4" w:space="0"/>
              <w:right w:val="single" w:color="000000" w:sz="4" w:space="0"/>
            </w:tcBorders>
          </w:tcPr>
          <w:p w14:paraId="33E2CBBE">
            <w:pPr>
              <w:pageBreakBefore w:val="0"/>
              <w:kinsoku/>
              <w:wordWrap/>
              <w:overflowPunct/>
              <w:topLinePunct w:val="0"/>
              <w:bidi w:val="0"/>
              <w:spacing w:line="360" w:lineRule="exact"/>
              <w:jc w:val="center"/>
              <w:rPr>
                <w:rFonts w:ascii="宋体" w:hAnsi="宋体" w:cs="宋体"/>
                <w:sz w:val="18"/>
                <w:szCs w:val="18"/>
              </w:rPr>
            </w:pPr>
          </w:p>
        </w:tc>
      </w:tr>
      <w:tr w14:paraId="377BC981">
        <w:tblPrEx>
          <w:tblCellMar>
            <w:top w:w="0" w:type="dxa"/>
            <w:left w:w="108" w:type="dxa"/>
            <w:bottom w:w="0" w:type="dxa"/>
            <w:right w:w="108" w:type="dxa"/>
          </w:tblCellMar>
        </w:tblPrEx>
        <w:trPr>
          <w:trHeight w:val="360" w:hRule="atLeast"/>
          <w:jc w:val="center"/>
        </w:trPr>
        <w:tc>
          <w:tcPr>
            <w:tcW w:w="1074" w:type="pct"/>
            <w:vMerge w:val="continue"/>
            <w:tcBorders>
              <w:top w:val="single" w:color="000000" w:sz="4" w:space="0"/>
              <w:left w:val="single" w:color="000000" w:sz="4" w:space="0"/>
              <w:bottom w:val="single" w:color="000000" w:sz="4" w:space="0"/>
              <w:right w:val="single" w:color="000000" w:sz="4" w:space="0"/>
            </w:tcBorders>
            <w:vAlign w:val="center"/>
          </w:tcPr>
          <w:p w14:paraId="2FACB3D8">
            <w:pPr>
              <w:pageBreakBefore w:val="0"/>
              <w:kinsoku/>
              <w:wordWrap/>
              <w:overflowPunct/>
              <w:topLinePunct w:val="0"/>
              <w:bidi w:val="0"/>
              <w:spacing w:line="360" w:lineRule="exact"/>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4CF6990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本科</w:t>
            </w:r>
          </w:p>
        </w:tc>
        <w:tc>
          <w:tcPr>
            <w:tcW w:w="1108" w:type="pct"/>
            <w:tcBorders>
              <w:top w:val="single" w:color="000000" w:sz="4" w:space="0"/>
              <w:left w:val="single" w:color="000000" w:sz="4" w:space="0"/>
              <w:bottom w:val="single" w:color="000000" w:sz="4" w:space="0"/>
              <w:right w:val="single" w:color="000000" w:sz="4" w:space="0"/>
            </w:tcBorders>
            <w:vAlign w:val="center"/>
          </w:tcPr>
          <w:p w14:paraId="75333AE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902" w:type="pct"/>
            <w:tcBorders>
              <w:top w:val="single" w:color="000000" w:sz="4" w:space="0"/>
              <w:left w:val="single" w:color="000000" w:sz="4" w:space="0"/>
              <w:bottom w:val="single" w:color="000000" w:sz="4" w:space="0"/>
              <w:right w:val="single" w:color="000000" w:sz="4" w:space="0"/>
            </w:tcBorders>
            <w:vAlign w:val="center"/>
          </w:tcPr>
          <w:p w14:paraId="6B654D6A">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25%</w:t>
            </w:r>
          </w:p>
        </w:tc>
        <w:tc>
          <w:tcPr>
            <w:tcW w:w="871" w:type="pct"/>
            <w:tcBorders>
              <w:top w:val="single" w:color="000000" w:sz="4" w:space="0"/>
              <w:left w:val="single" w:color="000000" w:sz="4" w:space="0"/>
              <w:bottom w:val="single" w:color="000000" w:sz="4" w:space="0"/>
              <w:right w:val="single" w:color="000000" w:sz="4" w:space="0"/>
            </w:tcBorders>
          </w:tcPr>
          <w:p w14:paraId="7ED7D1AD">
            <w:pPr>
              <w:pageBreakBefore w:val="0"/>
              <w:kinsoku/>
              <w:wordWrap/>
              <w:overflowPunct/>
              <w:topLinePunct w:val="0"/>
              <w:bidi w:val="0"/>
              <w:spacing w:line="360" w:lineRule="exact"/>
              <w:jc w:val="center"/>
              <w:rPr>
                <w:rFonts w:ascii="宋体" w:hAnsi="宋体" w:cs="宋体"/>
                <w:sz w:val="18"/>
                <w:szCs w:val="18"/>
              </w:rPr>
            </w:pPr>
          </w:p>
        </w:tc>
      </w:tr>
      <w:tr w14:paraId="1E4C9DAB">
        <w:tblPrEx>
          <w:tblCellMar>
            <w:top w:w="0" w:type="dxa"/>
            <w:left w:w="108" w:type="dxa"/>
            <w:bottom w:w="0" w:type="dxa"/>
            <w:right w:w="108" w:type="dxa"/>
          </w:tblCellMar>
        </w:tblPrEx>
        <w:trPr>
          <w:trHeight w:val="360" w:hRule="atLeast"/>
          <w:jc w:val="center"/>
        </w:trPr>
        <w:tc>
          <w:tcPr>
            <w:tcW w:w="1074" w:type="pct"/>
            <w:vMerge w:val="restart"/>
            <w:tcBorders>
              <w:top w:val="single" w:color="000000" w:sz="4" w:space="0"/>
              <w:left w:val="single" w:color="000000" w:sz="4" w:space="0"/>
              <w:bottom w:val="single" w:color="000000" w:sz="4" w:space="0"/>
              <w:right w:val="single" w:color="000000" w:sz="4" w:space="0"/>
            </w:tcBorders>
            <w:vAlign w:val="center"/>
          </w:tcPr>
          <w:p w14:paraId="697CBFE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年龄结构</w:t>
            </w:r>
          </w:p>
        </w:tc>
        <w:tc>
          <w:tcPr>
            <w:tcW w:w="1043" w:type="pct"/>
            <w:tcBorders>
              <w:top w:val="single" w:color="000000" w:sz="4" w:space="0"/>
              <w:left w:val="single" w:color="000000" w:sz="4" w:space="0"/>
              <w:bottom w:val="single" w:color="000000" w:sz="4" w:space="0"/>
              <w:right w:val="single" w:color="000000" w:sz="4" w:space="0"/>
            </w:tcBorders>
            <w:vAlign w:val="center"/>
          </w:tcPr>
          <w:p w14:paraId="0595CAF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35岁以下</w:t>
            </w:r>
          </w:p>
        </w:tc>
        <w:tc>
          <w:tcPr>
            <w:tcW w:w="1108" w:type="pct"/>
            <w:tcBorders>
              <w:top w:val="single" w:color="000000" w:sz="4" w:space="0"/>
              <w:left w:val="single" w:color="000000" w:sz="4" w:space="0"/>
              <w:bottom w:val="single" w:color="000000" w:sz="4" w:space="0"/>
              <w:right w:val="single" w:color="000000" w:sz="4" w:space="0"/>
            </w:tcBorders>
            <w:vAlign w:val="center"/>
          </w:tcPr>
          <w:p w14:paraId="68326287">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10</w:t>
            </w:r>
          </w:p>
        </w:tc>
        <w:tc>
          <w:tcPr>
            <w:tcW w:w="902" w:type="pct"/>
            <w:tcBorders>
              <w:top w:val="single" w:color="000000" w:sz="4" w:space="0"/>
              <w:left w:val="single" w:color="000000" w:sz="4" w:space="0"/>
              <w:bottom w:val="single" w:color="000000" w:sz="4" w:space="0"/>
              <w:right w:val="single" w:color="000000" w:sz="4" w:space="0"/>
            </w:tcBorders>
            <w:vAlign w:val="center"/>
          </w:tcPr>
          <w:p w14:paraId="5B8428EE">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41%</w:t>
            </w:r>
          </w:p>
        </w:tc>
        <w:tc>
          <w:tcPr>
            <w:tcW w:w="871" w:type="pct"/>
            <w:tcBorders>
              <w:top w:val="single" w:color="000000" w:sz="4" w:space="0"/>
              <w:left w:val="single" w:color="000000" w:sz="4" w:space="0"/>
              <w:bottom w:val="single" w:color="000000" w:sz="4" w:space="0"/>
              <w:right w:val="single" w:color="000000" w:sz="4" w:space="0"/>
            </w:tcBorders>
          </w:tcPr>
          <w:p w14:paraId="5215AB56">
            <w:pPr>
              <w:pageBreakBefore w:val="0"/>
              <w:kinsoku/>
              <w:wordWrap/>
              <w:overflowPunct/>
              <w:topLinePunct w:val="0"/>
              <w:bidi w:val="0"/>
              <w:spacing w:line="360" w:lineRule="exact"/>
              <w:jc w:val="center"/>
              <w:rPr>
                <w:rFonts w:ascii="宋体" w:hAnsi="宋体" w:cs="宋体"/>
                <w:sz w:val="18"/>
                <w:szCs w:val="18"/>
              </w:rPr>
            </w:pPr>
          </w:p>
        </w:tc>
      </w:tr>
      <w:tr w14:paraId="206164DC">
        <w:tblPrEx>
          <w:tblCellMar>
            <w:top w:w="0" w:type="dxa"/>
            <w:left w:w="108" w:type="dxa"/>
            <w:bottom w:w="0" w:type="dxa"/>
            <w:right w:w="108" w:type="dxa"/>
          </w:tblCellMar>
        </w:tblPrEx>
        <w:trPr>
          <w:trHeight w:val="360" w:hRule="atLeast"/>
          <w:jc w:val="center"/>
        </w:trPr>
        <w:tc>
          <w:tcPr>
            <w:tcW w:w="1074" w:type="pct"/>
            <w:vMerge w:val="continue"/>
            <w:tcBorders>
              <w:top w:val="single" w:color="000000" w:sz="4" w:space="0"/>
              <w:left w:val="single" w:color="000000" w:sz="4" w:space="0"/>
              <w:bottom w:val="single" w:color="000000" w:sz="4" w:space="0"/>
              <w:right w:val="single" w:color="000000" w:sz="4" w:space="0"/>
            </w:tcBorders>
            <w:vAlign w:val="center"/>
          </w:tcPr>
          <w:p w14:paraId="2F83D328">
            <w:pPr>
              <w:pageBreakBefore w:val="0"/>
              <w:kinsoku/>
              <w:wordWrap/>
              <w:overflowPunct/>
              <w:topLinePunct w:val="0"/>
              <w:bidi w:val="0"/>
              <w:spacing w:line="360" w:lineRule="exact"/>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5328F30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36-45岁</w:t>
            </w:r>
          </w:p>
        </w:tc>
        <w:tc>
          <w:tcPr>
            <w:tcW w:w="1108" w:type="pct"/>
            <w:tcBorders>
              <w:top w:val="single" w:color="000000" w:sz="4" w:space="0"/>
              <w:left w:val="single" w:color="000000" w:sz="4" w:space="0"/>
              <w:bottom w:val="single" w:color="000000" w:sz="4" w:space="0"/>
              <w:right w:val="single" w:color="000000" w:sz="4" w:space="0"/>
            </w:tcBorders>
            <w:vAlign w:val="center"/>
          </w:tcPr>
          <w:p w14:paraId="1BF7BB3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12</w:t>
            </w:r>
          </w:p>
        </w:tc>
        <w:tc>
          <w:tcPr>
            <w:tcW w:w="902" w:type="pct"/>
            <w:tcBorders>
              <w:top w:val="single" w:color="000000" w:sz="4" w:space="0"/>
              <w:left w:val="single" w:color="000000" w:sz="4" w:space="0"/>
              <w:bottom w:val="single" w:color="000000" w:sz="4" w:space="0"/>
              <w:right w:val="single" w:color="000000" w:sz="4" w:space="0"/>
            </w:tcBorders>
            <w:vAlign w:val="center"/>
          </w:tcPr>
          <w:p w14:paraId="56AF9AD3">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50%</w:t>
            </w:r>
          </w:p>
        </w:tc>
        <w:tc>
          <w:tcPr>
            <w:tcW w:w="871" w:type="pct"/>
            <w:tcBorders>
              <w:top w:val="single" w:color="000000" w:sz="4" w:space="0"/>
              <w:left w:val="single" w:color="000000" w:sz="4" w:space="0"/>
              <w:bottom w:val="single" w:color="000000" w:sz="4" w:space="0"/>
              <w:right w:val="single" w:color="000000" w:sz="4" w:space="0"/>
            </w:tcBorders>
          </w:tcPr>
          <w:p w14:paraId="22462160">
            <w:pPr>
              <w:pageBreakBefore w:val="0"/>
              <w:kinsoku/>
              <w:wordWrap/>
              <w:overflowPunct/>
              <w:topLinePunct w:val="0"/>
              <w:bidi w:val="0"/>
              <w:spacing w:line="360" w:lineRule="exact"/>
              <w:jc w:val="center"/>
              <w:rPr>
                <w:rFonts w:ascii="宋体" w:hAnsi="宋体" w:cs="宋体"/>
                <w:sz w:val="18"/>
                <w:szCs w:val="18"/>
              </w:rPr>
            </w:pPr>
          </w:p>
        </w:tc>
      </w:tr>
      <w:tr w14:paraId="5192DFF6">
        <w:tblPrEx>
          <w:tblCellMar>
            <w:top w:w="0" w:type="dxa"/>
            <w:left w:w="108" w:type="dxa"/>
            <w:bottom w:w="0" w:type="dxa"/>
            <w:right w:w="108" w:type="dxa"/>
          </w:tblCellMar>
        </w:tblPrEx>
        <w:trPr>
          <w:trHeight w:val="360" w:hRule="atLeast"/>
          <w:jc w:val="center"/>
        </w:trPr>
        <w:tc>
          <w:tcPr>
            <w:tcW w:w="1074" w:type="pct"/>
            <w:vMerge w:val="continue"/>
            <w:tcBorders>
              <w:top w:val="single" w:color="000000" w:sz="4" w:space="0"/>
              <w:left w:val="single" w:color="000000" w:sz="4" w:space="0"/>
              <w:bottom w:val="single" w:color="000000" w:sz="4" w:space="0"/>
              <w:right w:val="single" w:color="000000" w:sz="4" w:space="0"/>
            </w:tcBorders>
            <w:vAlign w:val="center"/>
          </w:tcPr>
          <w:p w14:paraId="4869900F">
            <w:pPr>
              <w:pageBreakBefore w:val="0"/>
              <w:kinsoku/>
              <w:wordWrap/>
              <w:overflowPunct/>
              <w:topLinePunct w:val="0"/>
              <w:bidi w:val="0"/>
              <w:spacing w:line="360" w:lineRule="exact"/>
              <w:jc w:val="center"/>
              <w:rPr>
                <w:rFonts w:ascii="宋体" w:hAnsi="宋体" w:cs="宋体"/>
                <w:sz w:val="18"/>
                <w:szCs w:val="18"/>
              </w:rPr>
            </w:pPr>
          </w:p>
        </w:tc>
        <w:tc>
          <w:tcPr>
            <w:tcW w:w="1043" w:type="pct"/>
            <w:tcBorders>
              <w:top w:val="single" w:color="000000" w:sz="4" w:space="0"/>
              <w:left w:val="single" w:color="000000" w:sz="4" w:space="0"/>
              <w:bottom w:val="single" w:color="000000" w:sz="4" w:space="0"/>
              <w:right w:val="single" w:color="000000" w:sz="4" w:space="0"/>
            </w:tcBorders>
            <w:vAlign w:val="center"/>
          </w:tcPr>
          <w:p w14:paraId="39803A6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46-60岁</w:t>
            </w:r>
          </w:p>
        </w:tc>
        <w:tc>
          <w:tcPr>
            <w:tcW w:w="1108" w:type="pct"/>
            <w:tcBorders>
              <w:top w:val="single" w:color="000000" w:sz="4" w:space="0"/>
              <w:left w:val="single" w:color="000000" w:sz="4" w:space="0"/>
              <w:bottom w:val="single" w:color="000000" w:sz="4" w:space="0"/>
              <w:right w:val="single" w:color="000000" w:sz="4" w:space="0"/>
            </w:tcBorders>
            <w:vAlign w:val="center"/>
          </w:tcPr>
          <w:p w14:paraId="02C7A57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902" w:type="pct"/>
            <w:tcBorders>
              <w:top w:val="single" w:color="000000" w:sz="4" w:space="0"/>
              <w:left w:val="single" w:color="000000" w:sz="4" w:space="0"/>
              <w:bottom w:val="single" w:color="000000" w:sz="4" w:space="0"/>
              <w:right w:val="single" w:color="000000" w:sz="4" w:space="0"/>
            </w:tcBorders>
            <w:vAlign w:val="center"/>
          </w:tcPr>
          <w:p w14:paraId="4C91E9A1">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8%</w:t>
            </w:r>
          </w:p>
        </w:tc>
        <w:tc>
          <w:tcPr>
            <w:tcW w:w="871" w:type="pct"/>
            <w:tcBorders>
              <w:top w:val="single" w:color="000000" w:sz="4" w:space="0"/>
              <w:left w:val="single" w:color="000000" w:sz="4" w:space="0"/>
              <w:bottom w:val="single" w:color="000000" w:sz="4" w:space="0"/>
              <w:right w:val="single" w:color="000000" w:sz="4" w:space="0"/>
            </w:tcBorders>
          </w:tcPr>
          <w:p w14:paraId="7F80252C">
            <w:pPr>
              <w:pageBreakBefore w:val="0"/>
              <w:kinsoku/>
              <w:wordWrap/>
              <w:overflowPunct/>
              <w:topLinePunct w:val="0"/>
              <w:bidi w:val="0"/>
              <w:spacing w:line="360" w:lineRule="exact"/>
              <w:jc w:val="center"/>
              <w:rPr>
                <w:rFonts w:ascii="宋体" w:hAnsi="宋体" w:cs="宋体"/>
                <w:sz w:val="18"/>
                <w:szCs w:val="18"/>
              </w:rPr>
            </w:pPr>
          </w:p>
        </w:tc>
      </w:tr>
      <w:tr w14:paraId="2CCAB8A5">
        <w:tblPrEx>
          <w:tblCellMar>
            <w:top w:w="0" w:type="dxa"/>
            <w:left w:w="108" w:type="dxa"/>
            <w:bottom w:w="0" w:type="dxa"/>
            <w:right w:w="108" w:type="dxa"/>
          </w:tblCellMar>
        </w:tblPrEx>
        <w:trPr>
          <w:trHeight w:val="360" w:hRule="atLeast"/>
          <w:jc w:val="center"/>
        </w:trPr>
        <w:tc>
          <w:tcPr>
            <w:tcW w:w="2118" w:type="pct"/>
            <w:gridSpan w:val="2"/>
            <w:tcBorders>
              <w:top w:val="single" w:color="000000" w:sz="4" w:space="0"/>
              <w:left w:val="single" w:color="000000" w:sz="4" w:space="0"/>
              <w:bottom w:val="single" w:color="000000" w:sz="4" w:space="0"/>
              <w:right w:val="single" w:color="000000" w:sz="4" w:space="0"/>
            </w:tcBorders>
            <w:vAlign w:val="center"/>
          </w:tcPr>
          <w:p w14:paraId="75DF1EF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双师型教师</w:t>
            </w:r>
          </w:p>
        </w:tc>
        <w:tc>
          <w:tcPr>
            <w:tcW w:w="1108" w:type="pct"/>
            <w:tcBorders>
              <w:top w:val="single" w:color="000000" w:sz="4" w:space="0"/>
              <w:left w:val="single" w:color="000000" w:sz="4" w:space="0"/>
              <w:bottom w:val="single" w:color="000000" w:sz="4" w:space="0"/>
              <w:right w:val="single" w:color="000000" w:sz="4" w:space="0"/>
            </w:tcBorders>
            <w:vAlign w:val="center"/>
          </w:tcPr>
          <w:p w14:paraId="5ED084B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15</w:t>
            </w:r>
          </w:p>
        </w:tc>
        <w:tc>
          <w:tcPr>
            <w:tcW w:w="902" w:type="pct"/>
            <w:tcBorders>
              <w:top w:val="single" w:color="000000" w:sz="4" w:space="0"/>
              <w:left w:val="single" w:color="000000" w:sz="4" w:space="0"/>
              <w:bottom w:val="single" w:color="000000" w:sz="4" w:space="0"/>
              <w:right w:val="single" w:color="000000" w:sz="4" w:space="0"/>
            </w:tcBorders>
            <w:vAlign w:val="center"/>
          </w:tcPr>
          <w:p w14:paraId="5A60CDFC">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62%</w:t>
            </w:r>
          </w:p>
        </w:tc>
        <w:tc>
          <w:tcPr>
            <w:tcW w:w="871" w:type="pct"/>
            <w:tcBorders>
              <w:top w:val="single" w:color="000000" w:sz="4" w:space="0"/>
              <w:left w:val="single" w:color="000000" w:sz="4" w:space="0"/>
              <w:bottom w:val="single" w:color="000000" w:sz="4" w:space="0"/>
              <w:right w:val="single" w:color="000000" w:sz="4" w:space="0"/>
            </w:tcBorders>
            <w:vAlign w:val="center"/>
          </w:tcPr>
          <w:p w14:paraId="4037CCB4">
            <w:pPr>
              <w:pageBreakBefore w:val="0"/>
              <w:kinsoku/>
              <w:wordWrap/>
              <w:overflowPunct/>
              <w:topLinePunct w:val="0"/>
              <w:bidi w:val="0"/>
              <w:spacing w:line="360" w:lineRule="exact"/>
              <w:jc w:val="center"/>
              <w:rPr>
                <w:rFonts w:ascii="宋体" w:hAnsi="宋体" w:cs="宋体"/>
                <w:szCs w:val="21"/>
              </w:rPr>
            </w:pPr>
          </w:p>
        </w:tc>
      </w:tr>
      <w:tr w14:paraId="63760247">
        <w:tblPrEx>
          <w:tblCellMar>
            <w:top w:w="0" w:type="dxa"/>
            <w:left w:w="108" w:type="dxa"/>
            <w:bottom w:w="0" w:type="dxa"/>
            <w:right w:w="108" w:type="dxa"/>
          </w:tblCellMar>
        </w:tblPrEx>
        <w:trPr>
          <w:trHeight w:val="360" w:hRule="atLeast"/>
          <w:jc w:val="center"/>
        </w:trPr>
        <w:tc>
          <w:tcPr>
            <w:tcW w:w="2118" w:type="pct"/>
            <w:gridSpan w:val="2"/>
            <w:tcBorders>
              <w:top w:val="single" w:color="000000" w:sz="4" w:space="0"/>
              <w:left w:val="single" w:color="000000" w:sz="4" w:space="0"/>
              <w:bottom w:val="single" w:color="000000" w:sz="4" w:space="0"/>
              <w:right w:val="single" w:color="000000" w:sz="4" w:space="0"/>
            </w:tcBorders>
            <w:vAlign w:val="center"/>
          </w:tcPr>
          <w:p w14:paraId="792F63C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专任教师</w:t>
            </w:r>
          </w:p>
        </w:tc>
        <w:tc>
          <w:tcPr>
            <w:tcW w:w="1108" w:type="pct"/>
            <w:tcBorders>
              <w:top w:val="single" w:color="000000" w:sz="4" w:space="0"/>
              <w:left w:val="single" w:color="000000" w:sz="4" w:space="0"/>
              <w:bottom w:val="single" w:color="000000" w:sz="4" w:space="0"/>
              <w:right w:val="single" w:color="000000" w:sz="4" w:space="0"/>
            </w:tcBorders>
            <w:vAlign w:val="center"/>
          </w:tcPr>
          <w:p w14:paraId="674A503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20</w:t>
            </w:r>
          </w:p>
        </w:tc>
        <w:tc>
          <w:tcPr>
            <w:tcW w:w="902" w:type="pct"/>
            <w:tcBorders>
              <w:top w:val="single" w:color="000000" w:sz="4" w:space="0"/>
              <w:left w:val="single" w:color="000000" w:sz="4" w:space="0"/>
              <w:bottom w:val="single" w:color="000000" w:sz="4" w:space="0"/>
              <w:right w:val="single" w:color="000000" w:sz="4" w:space="0"/>
            </w:tcBorders>
            <w:vAlign w:val="center"/>
          </w:tcPr>
          <w:p w14:paraId="70F3A15E">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83%</w:t>
            </w:r>
          </w:p>
        </w:tc>
        <w:tc>
          <w:tcPr>
            <w:tcW w:w="871" w:type="pct"/>
            <w:tcBorders>
              <w:top w:val="single" w:color="000000" w:sz="4" w:space="0"/>
              <w:left w:val="single" w:color="000000" w:sz="4" w:space="0"/>
              <w:bottom w:val="single" w:color="000000" w:sz="4" w:space="0"/>
              <w:right w:val="single" w:color="000000" w:sz="4" w:space="0"/>
            </w:tcBorders>
            <w:vAlign w:val="center"/>
          </w:tcPr>
          <w:p w14:paraId="758B1D02">
            <w:pPr>
              <w:pageBreakBefore w:val="0"/>
              <w:kinsoku/>
              <w:wordWrap/>
              <w:overflowPunct/>
              <w:topLinePunct w:val="0"/>
              <w:bidi w:val="0"/>
              <w:spacing w:line="360" w:lineRule="exact"/>
              <w:jc w:val="center"/>
              <w:rPr>
                <w:rFonts w:ascii="宋体" w:hAnsi="宋体" w:cs="宋体"/>
                <w:szCs w:val="21"/>
              </w:rPr>
            </w:pPr>
          </w:p>
        </w:tc>
      </w:tr>
      <w:tr w14:paraId="20EF1EC1">
        <w:tblPrEx>
          <w:tblCellMar>
            <w:top w:w="0" w:type="dxa"/>
            <w:left w:w="108" w:type="dxa"/>
            <w:bottom w:w="0" w:type="dxa"/>
            <w:right w:w="108" w:type="dxa"/>
          </w:tblCellMar>
        </w:tblPrEx>
        <w:trPr>
          <w:trHeight w:val="360" w:hRule="atLeast"/>
          <w:jc w:val="center"/>
        </w:trPr>
        <w:tc>
          <w:tcPr>
            <w:tcW w:w="2118" w:type="pct"/>
            <w:gridSpan w:val="2"/>
            <w:tcBorders>
              <w:top w:val="single" w:color="000000" w:sz="4" w:space="0"/>
              <w:left w:val="single" w:color="000000" w:sz="4" w:space="0"/>
              <w:bottom w:val="single" w:color="000000" w:sz="4" w:space="0"/>
              <w:right w:val="single" w:color="000000" w:sz="4" w:space="0"/>
            </w:tcBorders>
            <w:vAlign w:val="center"/>
          </w:tcPr>
          <w:p w14:paraId="242742F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专业带头人</w:t>
            </w:r>
          </w:p>
        </w:tc>
        <w:tc>
          <w:tcPr>
            <w:tcW w:w="1108" w:type="pct"/>
            <w:tcBorders>
              <w:top w:val="single" w:color="000000" w:sz="4" w:space="0"/>
              <w:left w:val="single" w:color="000000" w:sz="4" w:space="0"/>
              <w:bottom w:val="single" w:color="000000" w:sz="4" w:space="0"/>
              <w:right w:val="single" w:color="000000" w:sz="4" w:space="0"/>
            </w:tcBorders>
            <w:vAlign w:val="center"/>
          </w:tcPr>
          <w:p w14:paraId="2E90EF9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902" w:type="pct"/>
            <w:tcBorders>
              <w:top w:val="single" w:color="000000" w:sz="4" w:space="0"/>
              <w:left w:val="single" w:color="000000" w:sz="4" w:space="0"/>
              <w:bottom w:val="single" w:color="000000" w:sz="4" w:space="0"/>
              <w:right w:val="single" w:color="000000" w:sz="4" w:space="0"/>
            </w:tcBorders>
            <w:vAlign w:val="center"/>
          </w:tcPr>
          <w:p w14:paraId="0748C397">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4%</w:t>
            </w:r>
          </w:p>
        </w:tc>
        <w:tc>
          <w:tcPr>
            <w:tcW w:w="871" w:type="pct"/>
            <w:tcBorders>
              <w:top w:val="single" w:color="000000" w:sz="4" w:space="0"/>
              <w:left w:val="single" w:color="000000" w:sz="4" w:space="0"/>
              <w:bottom w:val="single" w:color="000000" w:sz="4" w:space="0"/>
              <w:right w:val="single" w:color="000000" w:sz="4" w:space="0"/>
            </w:tcBorders>
            <w:vAlign w:val="center"/>
          </w:tcPr>
          <w:p w14:paraId="2A628D88">
            <w:pPr>
              <w:pageBreakBefore w:val="0"/>
              <w:kinsoku/>
              <w:wordWrap/>
              <w:overflowPunct/>
              <w:topLinePunct w:val="0"/>
              <w:bidi w:val="0"/>
              <w:spacing w:line="360" w:lineRule="exact"/>
              <w:jc w:val="center"/>
              <w:rPr>
                <w:rFonts w:ascii="宋体" w:hAnsi="宋体" w:cs="宋体"/>
                <w:szCs w:val="21"/>
              </w:rPr>
            </w:pPr>
          </w:p>
        </w:tc>
      </w:tr>
      <w:tr w14:paraId="69A76470">
        <w:tblPrEx>
          <w:tblCellMar>
            <w:top w:w="0" w:type="dxa"/>
            <w:left w:w="108" w:type="dxa"/>
            <w:bottom w:w="0" w:type="dxa"/>
            <w:right w:w="108" w:type="dxa"/>
          </w:tblCellMar>
        </w:tblPrEx>
        <w:trPr>
          <w:trHeight w:val="373" w:hRule="atLeast"/>
          <w:jc w:val="center"/>
        </w:trPr>
        <w:tc>
          <w:tcPr>
            <w:tcW w:w="2118" w:type="pct"/>
            <w:gridSpan w:val="2"/>
            <w:tcBorders>
              <w:top w:val="single" w:color="000000" w:sz="4" w:space="0"/>
              <w:left w:val="single" w:color="000000" w:sz="4" w:space="0"/>
              <w:bottom w:val="single" w:color="000000" w:sz="4" w:space="0"/>
              <w:right w:val="single" w:color="000000" w:sz="4" w:space="0"/>
            </w:tcBorders>
            <w:vAlign w:val="center"/>
          </w:tcPr>
          <w:p w14:paraId="14760D7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兼职教师</w:t>
            </w:r>
          </w:p>
        </w:tc>
        <w:tc>
          <w:tcPr>
            <w:tcW w:w="1108" w:type="pct"/>
            <w:tcBorders>
              <w:top w:val="single" w:color="000000" w:sz="4" w:space="0"/>
              <w:left w:val="single" w:color="000000" w:sz="4" w:space="0"/>
              <w:bottom w:val="single" w:color="000000" w:sz="4" w:space="0"/>
              <w:right w:val="single" w:color="000000" w:sz="4" w:space="0"/>
            </w:tcBorders>
            <w:vAlign w:val="center"/>
          </w:tcPr>
          <w:p w14:paraId="3AC6637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902" w:type="pct"/>
            <w:tcBorders>
              <w:top w:val="single" w:color="000000" w:sz="4" w:space="0"/>
              <w:left w:val="single" w:color="000000" w:sz="4" w:space="0"/>
              <w:bottom w:val="single" w:color="000000" w:sz="4" w:space="0"/>
              <w:right w:val="single" w:color="000000" w:sz="4" w:space="0"/>
            </w:tcBorders>
            <w:vAlign w:val="center"/>
          </w:tcPr>
          <w:p w14:paraId="677E6E38">
            <w:pPr>
              <w:pageBreakBefore w:val="0"/>
              <w:kinsoku/>
              <w:wordWrap/>
              <w:overflowPunct/>
              <w:topLinePunct w:val="0"/>
              <w:bidi w:val="0"/>
              <w:adjustRightInd w:val="0"/>
              <w:snapToGrid w:val="0"/>
              <w:spacing w:line="360" w:lineRule="exact"/>
              <w:jc w:val="center"/>
              <w:rPr>
                <w:rFonts w:ascii="宋体" w:hAnsi="宋体" w:cs="宋体"/>
                <w:sz w:val="18"/>
                <w:szCs w:val="18"/>
              </w:rPr>
            </w:pPr>
            <w:r>
              <w:rPr>
                <w:rFonts w:hint="eastAsia" w:ascii="宋体" w:hAnsi="宋体" w:cs="宋体"/>
                <w:sz w:val="18"/>
                <w:szCs w:val="18"/>
              </w:rPr>
              <w:t>16%</w:t>
            </w:r>
          </w:p>
        </w:tc>
        <w:tc>
          <w:tcPr>
            <w:tcW w:w="871" w:type="pct"/>
            <w:tcBorders>
              <w:top w:val="single" w:color="000000" w:sz="4" w:space="0"/>
              <w:left w:val="single" w:color="000000" w:sz="4" w:space="0"/>
              <w:bottom w:val="single" w:color="000000" w:sz="4" w:space="0"/>
              <w:right w:val="single" w:color="000000" w:sz="4" w:space="0"/>
            </w:tcBorders>
            <w:vAlign w:val="center"/>
          </w:tcPr>
          <w:p w14:paraId="1B52FA58">
            <w:pPr>
              <w:pageBreakBefore w:val="0"/>
              <w:kinsoku/>
              <w:wordWrap/>
              <w:overflowPunct/>
              <w:topLinePunct w:val="0"/>
              <w:bidi w:val="0"/>
              <w:spacing w:line="360" w:lineRule="exact"/>
              <w:jc w:val="center"/>
              <w:rPr>
                <w:rFonts w:ascii="宋体" w:hAnsi="宋体" w:cs="宋体"/>
                <w:szCs w:val="21"/>
              </w:rPr>
            </w:pPr>
          </w:p>
        </w:tc>
      </w:tr>
    </w:tbl>
    <w:p w14:paraId="3063BE70">
      <w:pPr>
        <w:pageBreakBefore w:val="0"/>
        <w:kinsoku/>
        <w:wordWrap/>
        <w:overflowPunct/>
        <w:topLinePunct w:val="0"/>
        <w:bidi w:val="0"/>
        <w:adjustRightInd w:val="0"/>
        <w:snapToGrid w:val="0"/>
        <w:spacing w:line="360" w:lineRule="exact"/>
        <w:ind w:firstLine="422" w:firstLineChars="200"/>
        <w:rPr>
          <w:rFonts w:ascii="宋体" w:hAnsi="宋体" w:cs="宋体"/>
          <w:szCs w:val="21"/>
        </w:rPr>
      </w:pPr>
      <w:r>
        <w:rPr>
          <w:rFonts w:ascii="宋体" w:hAnsi="宋体" w:cs="宋体"/>
          <w:b/>
          <w:bCs/>
          <w:szCs w:val="21"/>
        </w:rPr>
        <w:t>2.专业带头人</w:t>
      </w:r>
      <w:r>
        <w:rPr>
          <w:rFonts w:ascii="宋体" w:hAnsi="宋体" w:cs="宋体"/>
          <w:szCs w:val="21"/>
        </w:rPr>
        <w:t xml:space="preserve"> </w:t>
      </w:r>
    </w:p>
    <w:p w14:paraId="2A734D5D">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本专业专业带头人为教育类专业教授，具有高级职称，被认定为河南省职业教育教学专家，河南省教育厅学术技术带头人，并曾在相关行业任职。了解行业对本专业人才的需求实际，教学设计、专业研究能力强。</w:t>
      </w:r>
    </w:p>
    <w:p w14:paraId="771D6C01">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3.专任教师</w:t>
      </w:r>
    </w:p>
    <w:p w14:paraId="735C276C">
      <w:pPr>
        <w:pStyle w:val="5"/>
        <w:pageBreakBefore w:val="0"/>
        <w:kinsoku/>
        <w:wordWrap/>
        <w:overflowPunct/>
        <w:topLinePunct w:val="0"/>
        <w:bidi w:val="0"/>
        <w:adjustRightInd w:val="0"/>
        <w:snapToGrid w:val="0"/>
        <w:spacing w:before="0" w:after="0" w:line="360" w:lineRule="exact"/>
        <w:ind w:firstLine="420" w:firstLineChars="200"/>
        <w:rPr>
          <w:b w:val="0"/>
          <w:bCs w:val="0"/>
          <w:sz w:val="21"/>
          <w:szCs w:val="21"/>
        </w:rPr>
      </w:pPr>
      <w:r>
        <w:rPr>
          <w:rFonts w:hint="eastAsia"/>
          <w:b w:val="0"/>
          <w:bCs w:val="0"/>
          <w:sz w:val="21"/>
          <w:szCs w:val="21"/>
        </w:rPr>
        <w:t>具有高等学校教师任职资格，双师型教师，本科及以上学历（</w:t>
      </w:r>
      <w:r>
        <w:rPr>
          <w:b w:val="0"/>
          <w:bCs w:val="0"/>
          <w:sz w:val="21"/>
          <w:szCs w:val="21"/>
        </w:rPr>
        <w:t>45</w:t>
      </w:r>
      <w:r>
        <w:rPr>
          <w:rFonts w:hint="eastAsia"/>
          <w:b w:val="0"/>
          <w:bCs w:val="0"/>
          <w:sz w:val="21"/>
          <w:szCs w:val="21"/>
        </w:rPr>
        <w:t>岁以下和新进青年教师必须为研究生学历），所学专业与承担的专业课程紧密联系；遵守高校教师职业道德规范，为人师表，言传身教；具有较深厚的教育科学理论知识，了解学前教育领域的前沿动态；具有职前养成和职后发展一体化指导能力，能够有效指导师范生发展与职业规划；勤于思考，严谨治学，具有一定的学术水平和研究能力；以生为本、以学定教，具有较强的课堂教学、信息技术应用和学习指导等教育教学能力。</w:t>
      </w:r>
    </w:p>
    <w:p w14:paraId="091C07E5">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4.兼职教师</w:t>
      </w:r>
    </w:p>
    <w:p w14:paraId="209DD1F8">
      <w:pPr>
        <w:pageBreakBefore w:val="0"/>
        <w:kinsoku/>
        <w:wordWrap/>
        <w:overflowPunct/>
        <w:topLinePunct w:val="0"/>
        <w:bidi w:val="0"/>
        <w:spacing w:line="360" w:lineRule="exact"/>
        <w:ind w:firstLine="420" w:firstLineChars="200"/>
        <w:rPr>
          <w:rFonts w:ascii="宋体" w:hAnsi="宋体" w:cs="宋体"/>
          <w:color w:val="FF0000"/>
          <w:szCs w:val="21"/>
        </w:rPr>
      </w:pPr>
      <w:bookmarkStart w:id="50" w:name="_Toc32234"/>
      <w:bookmarkStart w:id="51" w:name="_Toc18436"/>
      <w:r>
        <w:rPr>
          <w:rFonts w:hint="eastAsia"/>
          <w:szCs w:val="21"/>
        </w:rPr>
        <w:t>兼职教师应全部来源于省、市级示范性幼儿园和具有一定影响力的幼教机构；具有良好的思想政治素质和职业道德；具有扎实的学前教育专业知识和丰富的保教实践工作经验；外聘行业兼职教师应熟悉学前教育领域实际工作情况，具有</w:t>
      </w:r>
      <w:r>
        <w:rPr>
          <w:szCs w:val="21"/>
        </w:rPr>
        <w:t>8</w:t>
      </w:r>
      <w:r>
        <w:rPr>
          <w:rFonts w:hint="eastAsia"/>
          <w:szCs w:val="21"/>
        </w:rPr>
        <w:t>年以上学前教育实践经验且具有中级以上职称；或省市级教学名师、教学骨干、学科带头人。外聘高校教师具有高等学校教师资格证书或相关领域职业证书，具有副高级以上专业技术资格；具有良好的沟通和教学能力，教学经验丰富；能够遵守学校对兼职教师管理的各项规章制度。</w:t>
      </w:r>
      <w:r>
        <w:rPr>
          <w:rFonts w:hint="eastAsia" w:ascii="宋体" w:hAnsi="宋体" w:cs="宋体"/>
          <w:szCs w:val="21"/>
        </w:rPr>
        <w:t xml:space="preserve"> </w:t>
      </w:r>
    </w:p>
    <w:p w14:paraId="05E2E806">
      <w:pPr>
        <w:pageBreakBefore w:val="0"/>
        <w:numPr>
          <w:ilvl w:val="0"/>
          <w:numId w:val="8"/>
        </w:numPr>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教学设施</w:t>
      </w:r>
      <w:bookmarkEnd w:id="50"/>
      <w:bookmarkEnd w:id="51"/>
    </w:p>
    <w:p w14:paraId="3DAB00BC">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主要包括学前教育专业智慧实训中心、课证一体实训室、赛教一体实训室、幼儿照护实训中心、保育实训室、幼儿游戏实训室、学前虚拟仿真实训室、蒙台梭利实训室、感觉统合实训室、钢琴教室、舞蹈教室、美术手工教室等。</w:t>
      </w:r>
    </w:p>
    <w:p w14:paraId="075305EC">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0E322AB2">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要求满足保育实践、教学实训、教学技能训练、玩教具研发、艺术技能训练等实践教学需要，面积和设施均达到国家发布的有关实训教学条件建设标准要求；学前教育专业现有数量充足的多媒体教室，建有教育教学设施管理、维护、更新和共享机制，信息化条件保障满足专业建设、信息化教学和学生自主学习的需要。</w:t>
      </w:r>
    </w:p>
    <w:p w14:paraId="5504EEA9">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2.校内实训室（基地）基本要求</w:t>
      </w:r>
    </w:p>
    <w:p w14:paraId="56C702B1">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学前教育校内实习基地的首要任务是提供一个模拟真实的教育环境，使学生能够在接近实际工作环境的情况下进行实践操作和体验。实践教学环境应包括模拟教室、游戏区、角色扮演区等，确保学生能够全方位地了解学前教育机构日常运作流程，为将来的职业生涯做好充分准备。</w:t>
      </w:r>
    </w:p>
    <w:p w14:paraId="7F714857">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实习基地应配备符合学前教育发展需求的设施设备，包括教育教学工具、玩具材料、多媒体设备等。设施设备应保持先进性，能够满足教育实践和教学改革的需求，为学生提供良好的学习和实践条件。</w:t>
      </w:r>
    </w:p>
    <w:p w14:paraId="6CF0E134">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校内实训室概况</w:t>
      </w:r>
    </w:p>
    <w:tbl>
      <w:tblPr>
        <w:tblStyle w:val="15"/>
        <w:tblW w:w="50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7"/>
        <w:gridCol w:w="1977"/>
        <w:gridCol w:w="2519"/>
        <w:gridCol w:w="1133"/>
        <w:gridCol w:w="1175"/>
        <w:gridCol w:w="1646"/>
      </w:tblGrid>
      <w:tr w14:paraId="3BC1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381" w:type="pct"/>
            <w:vAlign w:val="center"/>
          </w:tcPr>
          <w:p w14:paraId="1E990B46">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序号</w:t>
            </w:r>
          </w:p>
        </w:tc>
        <w:tc>
          <w:tcPr>
            <w:tcW w:w="1080" w:type="pct"/>
            <w:vAlign w:val="center"/>
          </w:tcPr>
          <w:p w14:paraId="3FE83900">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实验/实训室名称</w:t>
            </w:r>
          </w:p>
        </w:tc>
        <w:tc>
          <w:tcPr>
            <w:tcW w:w="1376" w:type="pct"/>
            <w:vAlign w:val="center"/>
          </w:tcPr>
          <w:p w14:paraId="529067CB">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功能（实训实习项目）</w:t>
            </w:r>
          </w:p>
        </w:tc>
        <w:tc>
          <w:tcPr>
            <w:tcW w:w="619" w:type="pct"/>
            <w:vAlign w:val="center"/>
          </w:tcPr>
          <w:p w14:paraId="460EF485">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面积（㎡）</w:t>
            </w:r>
          </w:p>
        </w:tc>
        <w:tc>
          <w:tcPr>
            <w:tcW w:w="642" w:type="pct"/>
            <w:vAlign w:val="center"/>
          </w:tcPr>
          <w:p w14:paraId="34FA0480">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工位数（个）</w:t>
            </w:r>
          </w:p>
        </w:tc>
        <w:tc>
          <w:tcPr>
            <w:tcW w:w="899" w:type="pct"/>
            <w:vAlign w:val="center"/>
          </w:tcPr>
          <w:p w14:paraId="7BEB54A3">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支撑课程</w:t>
            </w:r>
          </w:p>
        </w:tc>
      </w:tr>
      <w:tr w14:paraId="7ACA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81" w:type="pct"/>
            <w:tcFitText/>
            <w:vAlign w:val="center"/>
          </w:tcPr>
          <w:p w14:paraId="69C111F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1080" w:type="pct"/>
            <w:vAlign w:val="center"/>
          </w:tcPr>
          <w:p w14:paraId="3D2D3104">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Times New Roman" w:hAnsi="Times New Roman"/>
                <w:b w:val="0"/>
                <w:color w:val="auto"/>
                <w:sz w:val="18"/>
                <w:szCs w:val="18"/>
              </w:rPr>
              <w:t>学前教育智慧实训中心</w:t>
            </w:r>
          </w:p>
        </w:tc>
        <w:tc>
          <w:tcPr>
            <w:tcW w:w="1376" w:type="pct"/>
            <w:vAlign w:val="center"/>
          </w:tcPr>
          <w:p w14:paraId="13F57C42">
            <w:pPr>
              <w:pageBreakBefore w:val="0"/>
              <w:kinsoku/>
              <w:wordWrap/>
              <w:overflowPunct/>
              <w:topLinePunct w:val="0"/>
              <w:bidi w:val="0"/>
              <w:adjustRightInd w:val="0"/>
              <w:spacing w:line="360" w:lineRule="exact"/>
              <w:ind w:firstLine="360" w:firstLineChars="200"/>
              <w:rPr>
                <w:rFonts w:ascii="宋体" w:hAnsi="宋体" w:cs="宋体"/>
                <w:sz w:val="18"/>
                <w:szCs w:val="18"/>
              </w:rPr>
            </w:pPr>
            <w:r>
              <w:rPr>
                <w:rFonts w:hint="eastAsia"/>
                <w:sz w:val="18"/>
                <w:szCs w:val="18"/>
              </w:rPr>
              <w:t>用于开展现代教 育技术优化的理实一体化教学，以及模拟组织幼儿园各类活动与评价等实训教学。</w:t>
            </w:r>
          </w:p>
        </w:tc>
        <w:tc>
          <w:tcPr>
            <w:tcW w:w="619" w:type="pct"/>
            <w:vAlign w:val="center"/>
          </w:tcPr>
          <w:p w14:paraId="6F25620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300</w:t>
            </w:r>
          </w:p>
        </w:tc>
        <w:tc>
          <w:tcPr>
            <w:tcW w:w="642" w:type="pct"/>
            <w:vAlign w:val="center"/>
          </w:tcPr>
          <w:p w14:paraId="518FFF9A">
            <w:pPr>
              <w:pageBreakBefore w:val="0"/>
              <w:kinsoku/>
              <w:wordWrap/>
              <w:overflowPunct/>
              <w:topLinePunct w:val="0"/>
              <w:bidi w:val="0"/>
              <w:spacing w:line="360" w:lineRule="exact"/>
              <w:jc w:val="center"/>
              <w:rPr>
                <w:rFonts w:ascii="宋体" w:hAnsi="宋体" w:cs="宋体"/>
                <w:sz w:val="18"/>
                <w:szCs w:val="18"/>
                <w:lang w:val="zh-CN"/>
              </w:rPr>
            </w:pPr>
            <w:r>
              <w:rPr>
                <w:rFonts w:hint="eastAsia" w:ascii="宋体" w:hAnsi="宋体" w:cs="宋体"/>
                <w:sz w:val="18"/>
                <w:szCs w:val="18"/>
              </w:rPr>
              <w:t>60</w:t>
            </w:r>
          </w:p>
        </w:tc>
        <w:tc>
          <w:tcPr>
            <w:tcW w:w="899" w:type="pct"/>
            <w:vAlign w:val="center"/>
          </w:tcPr>
          <w:p w14:paraId="322A5E05">
            <w:pPr>
              <w:pageBreakBefore w:val="0"/>
              <w:kinsoku/>
              <w:wordWrap/>
              <w:overflowPunct/>
              <w:topLinePunct w:val="0"/>
              <w:bidi w:val="0"/>
              <w:adjustRightInd w:val="0"/>
              <w:spacing w:line="360" w:lineRule="exact"/>
              <w:rPr>
                <w:sz w:val="18"/>
                <w:szCs w:val="18"/>
              </w:rPr>
            </w:pPr>
            <w:r>
              <w:rPr>
                <w:rFonts w:hint="eastAsia"/>
                <w:sz w:val="18"/>
                <w:szCs w:val="18"/>
              </w:rPr>
              <w:t>《幼儿园班级管理》</w:t>
            </w:r>
          </w:p>
          <w:p w14:paraId="3534297C">
            <w:pPr>
              <w:pageBreakBefore w:val="0"/>
              <w:kinsoku/>
              <w:wordWrap/>
              <w:overflowPunct/>
              <w:topLinePunct w:val="0"/>
              <w:bidi w:val="0"/>
              <w:adjustRightInd w:val="0"/>
              <w:spacing w:line="360" w:lineRule="exact"/>
              <w:rPr>
                <w:sz w:val="18"/>
                <w:szCs w:val="18"/>
              </w:rPr>
            </w:pPr>
            <w:r>
              <w:rPr>
                <w:rFonts w:hint="eastAsia"/>
                <w:sz w:val="18"/>
                <w:szCs w:val="18"/>
              </w:rPr>
              <w:t>《幼儿园教育活动设计与实施》</w:t>
            </w:r>
          </w:p>
          <w:p w14:paraId="45D0EB73">
            <w:pPr>
              <w:pageBreakBefore w:val="0"/>
              <w:kinsoku/>
              <w:wordWrap/>
              <w:overflowPunct/>
              <w:topLinePunct w:val="0"/>
              <w:bidi w:val="0"/>
              <w:adjustRightInd w:val="0"/>
              <w:spacing w:line="360" w:lineRule="exact"/>
              <w:rPr>
                <w:sz w:val="18"/>
                <w:szCs w:val="18"/>
              </w:rPr>
            </w:pPr>
            <w:r>
              <w:rPr>
                <w:rFonts w:hint="eastAsia"/>
                <w:sz w:val="18"/>
                <w:szCs w:val="18"/>
              </w:rPr>
              <w:t>《幼儿游戏活动指导》</w:t>
            </w:r>
          </w:p>
          <w:p w14:paraId="4F48CF5A">
            <w:pPr>
              <w:pageBreakBefore w:val="0"/>
              <w:kinsoku/>
              <w:wordWrap/>
              <w:overflowPunct/>
              <w:topLinePunct w:val="0"/>
              <w:bidi w:val="0"/>
              <w:adjustRightInd w:val="0"/>
              <w:spacing w:line="360" w:lineRule="exact"/>
              <w:rPr>
                <w:sz w:val="18"/>
                <w:szCs w:val="18"/>
              </w:rPr>
            </w:pPr>
            <w:r>
              <w:rPr>
                <w:rFonts w:hint="eastAsia"/>
                <w:sz w:val="18"/>
                <w:szCs w:val="18"/>
              </w:rPr>
              <w:t>《幼儿园教师艺术技能》</w:t>
            </w:r>
          </w:p>
          <w:p w14:paraId="38D1D806">
            <w:pPr>
              <w:pStyle w:val="2"/>
              <w:pageBreakBefore w:val="0"/>
              <w:kinsoku/>
              <w:wordWrap/>
              <w:overflowPunct/>
              <w:topLinePunct w:val="0"/>
              <w:bidi w:val="0"/>
              <w:spacing w:after="0" w:line="360" w:lineRule="exact"/>
              <w:rPr>
                <w:sz w:val="18"/>
                <w:szCs w:val="18"/>
              </w:rPr>
            </w:pPr>
            <w:r>
              <w:rPr>
                <w:rFonts w:hint="eastAsia"/>
                <w:sz w:val="18"/>
                <w:szCs w:val="18"/>
              </w:rPr>
              <w:t>《幼儿行为观察与评价》</w:t>
            </w:r>
          </w:p>
        </w:tc>
      </w:tr>
      <w:tr w14:paraId="1CF9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1" w:type="pct"/>
            <w:tcFitText/>
            <w:vAlign w:val="center"/>
          </w:tcPr>
          <w:p w14:paraId="75312F2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1080" w:type="pct"/>
            <w:vAlign w:val="center"/>
          </w:tcPr>
          <w:p w14:paraId="0D13E24A">
            <w:pPr>
              <w:pStyle w:val="6"/>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Times New Roman" w:hAnsi="Times New Roman"/>
                <w:b w:val="0"/>
                <w:color w:val="auto"/>
                <w:sz w:val="18"/>
                <w:szCs w:val="18"/>
              </w:rPr>
              <w:t>形体与舞蹈实训室</w:t>
            </w:r>
          </w:p>
        </w:tc>
        <w:tc>
          <w:tcPr>
            <w:tcW w:w="1376" w:type="pct"/>
            <w:vAlign w:val="center"/>
          </w:tcPr>
          <w:p w14:paraId="70ED881D">
            <w:pPr>
              <w:pageBreakBefore w:val="0"/>
              <w:kinsoku/>
              <w:wordWrap/>
              <w:overflowPunct/>
              <w:topLinePunct w:val="0"/>
              <w:bidi w:val="0"/>
              <w:adjustRightInd w:val="0"/>
              <w:spacing w:line="360" w:lineRule="exact"/>
              <w:ind w:firstLine="360" w:firstLineChars="200"/>
              <w:rPr>
                <w:rFonts w:ascii="宋体" w:hAnsi="宋体" w:cs="宋体"/>
                <w:b/>
                <w:sz w:val="18"/>
                <w:szCs w:val="18"/>
              </w:rPr>
            </w:pPr>
            <w:r>
              <w:rPr>
                <w:rFonts w:hint="eastAsia"/>
                <w:sz w:val="18"/>
                <w:szCs w:val="18"/>
              </w:rPr>
              <w:t>用于开展形体训练、舞蹈基础训练、儿童舞创编等实训教学，同时用于学生舞蹈表演、戏剧表演、舞蹈与戏剧创作创编等社团活动。</w:t>
            </w:r>
          </w:p>
        </w:tc>
        <w:tc>
          <w:tcPr>
            <w:tcW w:w="619" w:type="pct"/>
            <w:vAlign w:val="center"/>
          </w:tcPr>
          <w:p w14:paraId="12F5C65B">
            <w:pPr>
              <w:pStyle w:val="6"/>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b w:val="0"/>
                <w:color w:val="auto"/>
                <w:sz w:val="18"/>
                <w:szCs w:val="18"/>
              </w:rPr>
              <w:t>300</w:t>
            </w:r>
          </w:p>
        </w:tc>
        <w:tc>
          <w:tcPr>
            <w:tcW w:w="642" w:type="pct"/>
            <w:vAlign w:val="center"/>
          </w:tcPr>
          <w:p w14:paraId="174400B1">
            <w:pPr>
              <w:pStyle w:val="6"/>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b w:val="0"/>
                <w:color w:val="auto"/>
                <w:sz w:val="18"/>
                <w:szCs w:val="18"/>
              </w:rPr>
              <w:t>60</w:t>
            </w:r>
          </w:p>
        </w:tc>
        <w:tc>
          <w:tcPr>
            <w:tcW w:w="899" w:type="pct"/>
            <w:vAlign w:val="center"/>
          </w:tcPr>
          <w:p w14:paraId="2350CD81">
            <w:pPr>
              <w:pageBreakBefore w:val="0"/>
              <w:kinsoku/>
              <w:wordWrap/>
              <w:overflowPunct/>
              <w:topLinePunct w:val="0"/>
              <w:bidi w:val="0"/>
              <w:adjustRightInd w:val="0"/>
              <w:spacing w:line="360" w:lineRule="exact"/>
              <w:rPr>
                <w:sz w:val="18"/>
                <w:szCs w:val="18"/>
              </w:rPr>
            </w:pPr>
            <w:r>
              <w:rPr>
                <w:rFonts w:hint="eastAsia"/>
                <w:sz w:val="18"/>
                <w:szCs w:val="18"/>
              </w:rPr>
              <w:t>《幼儿舞蹈》</w:t>
            </w:r>
          </w:p>
          <w:p w14:paraId="0B4DC239">
            <w:pPr>
              <w:pageBreakBefore w:val="0"/>
              <w:kinsoku/>
              <w:wordWrap/>
              <w:overflowPunct/>
              <w:topLinePunct w:val="0"/>
              <w:bidi w:val="0"/>
              <w:adjustRightInd w:val="0"/>
              <w:spacing w:line="360" w:lineRule="exact"/>
              <w:rPr>
                <w:sz w:val="18"/>
                <w:szCs w:val="18"/>
              </w:rPr>
            </w:pPr>
            <w:r>
              <w:rPr>
                <w:rFonts w:hint="eastAsia"/>
                <w:sz w:val="18"/>
                <w:szCs w:val="18"/>
              </w:rPr>
              <w:t>《幼儿游戏活动指导》</w:t>
            </w:r>
          </w:p>
        </w:tc>
      </w:tr>
      <w:tr w14:paraId="0F5D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1" w:type="pct"/>
            <w:tcFitText/>
            <w:vAlign w:val="center"/>
          </w:tcPr>
          <w:p w14:paraId="3428E80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w:t>
            </w:r>
          </w:p>
        </w:tc>
        <w:tc>
          <w:tcPr>
            <w:tcW w:w="1080" w:type="pct"/>
            <w:vAlign w:val="center"/>
          </w:tcPr>
          <w:p w14:paraId="25C29092">
            <w:pPr>
              <w:pStyle w:val="6"/>
              <w:pageBreakBefore w:val="0"/>
              <w:kinsoku/>
              <w:wordWrap/>
              <w:overflowPunct/>
              <w:topLinePunct w:val="0"/>
              <w:bidi w:val="0"/>
              <w:spacing w:line="360" w:lineRule="exact"/>
              <w:jc w:val="center"/>
              <w:outlineLvl w:val="3"/>
              <w:rPr>
                <w:rFonts w:ascii="宋体" w:hAnsi="宋体" w:cs="宋体"/>
                <w:b w:val="0"/>
                <w:bCs/>
                <w:color w:val="auto"/>
                <w:sz w:val="18"/>
                <w:szCs w:val="18"/>
              </w:rPr>
            </w:pPr>
            <w:r>
              <w:rPr>
                <w:rFonts w:hint="eastAsia" w:ascii="宋体" w:hAnsi="宋体" w:cs="宋体"/>
                <w:b w:val="0"/>
                <w:bCs/>
                <w:color w:val="auto"/>
                <w:sz w:val="18"/>
                <w:szCs w:val="18"/>
              </w:rPr>
              <w:t>美术教育活动实训室</w:t>
            </w:r>
          </w:p>
        </w:tc>
        <w:tc>
          <w:tcPr>
            <w:tcW w:w="1376" w:type="pct"/>
            <w:vAlign w:val="center"/>
          </w:tcPr>
          <w:p w14:paraId="41B4921E">
            <w:pPr>
              <w:pageBreakBefore w:val="0"/>
              <w:kinsoku/>
              <w:wordWrap/>
              <w:overflowPunct/>
              <w:topLinePunct w:val="0"/>
              <w:bidi w:val="0"/>
              <w:adjustRightInd w:val="0"/>
              <w:spacing w:line="360" w:lineRule="exact"/>
              <w:ind w:firstLine="360" w:firstLineChars="200"/>
              <w:rPr>
                <w:rFonts w:ascii="宋体" w:hAnsi="宋体" w:cs="宋体"/>
                <w:bCs/>
                <w:sz w:val="18"/>
                <w:szCs w:val="18"/>
              </w:rPr>
            </w:pPr>
            <w:r>
              <w:rPr>
                <w:rFonts w:hint="eastAsia"/>
                <w:sz w:val="18"/>
                <w:szCs w:val="18"/>
              </w:rPr>
              <w:t>用于美术基础技能练习、儿童画创编及创作练习、幼儿园环境创设、幼儿园美术活动的组织实 施与评价等实训教学。</w:t>
            </w:r>
          </w:p>
        </w:tc>
        <w:tc>
          <w:tcPr>
            <w:tcW w:w="619" w:type="pct"/>
            <w:vAlign w:val="center"/>
          </w:tcPr>
          <w:p w14:paraId="2D213A13">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sz w:val="18"/>
                <w:szCs w:val="18"/>
              </w:rPr>
              <w:t>150</w:t>
            </w:r>
          </w:p>
        </w:tc>
        <w:tc>
          <w:tcPr>
            <w:tcW w:w="642" w:type="pct"/>
            <w:vAlign w:val="center"/>
          </w:tcPr>
          <w:p w14:paraId="2427CB04">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sz w:val="18"/>
                <w:szCs w:val="18"/>
              </w:rPr>
              <w:t>30</w:t>
            </w:r>
          </w:p>
        </w:tc>
        <w:tc>
          <w:tcPr>
            <w:tcW w:w="899" w:type="pct"/>
            <w:vAlign w:val="center"/>
          </w:tcPr>
          <w:p w14:paraId="625F4628">
            <w:pPr>
              <w:pageBreakBefore w:val="0"/>
              <w:kinsoku/>
              <w:wordWrap/>
              <w:overflowPunct/>
              <w:topLinePunct w:val="0"/>
              <w:bidi w:val="0"/>
              <w:adjustRightInd w:val="0"/>
              <w:spacing w:line="360" w:lineRule="exact"/>
              <w:rPr>
                <w:sz w:val="18"/>
                <w:szCs w:val="18"/>
              </w:rPr>
            </w:pPr>
            <w:r>
              <w:rPr>
                <w:rFonts w:hint="eastAsia"/>
                <w:sz w:val="18"/>
                <w:szCs w:val="18"/>
              </w:rPr>
              <w:t>《幼儿绘画》</w:t>
            </w:r>
          </w:p>
          <w:p w14:paraId="615D71B8">
            <w:pPr>
              <w:pageBreakBefore w:val="0"/>
              <w:kinsoku/>
              <w:wordWrap/>
              <w:overflowPunct/>
              <w:topLinePunct w:val="0"/>
              <w:bidi w:val="0"/>
              <w:adjustRightInd w:val="0"/>
              <w:spacing w:line="360" w:lineRule="exact"/>
              <w:rPr>
                <w:sz w:val="18"/>
                <w:szCs w:val="18"/>
              </w:rPr>
            </w:pPr>
            <w:r>
              <w:rPr>
                <w:rFonts w:hint="eastAsia"/>
                <w:sz w:val="18"/>
                <w:szCs w:val="18"/>
              </w:rPr>
              <w:t>《幼儿园玩教具制作》</w:t>
            </w:r>
          </w:p>
          <w:p w14:paraId="4CA6A9A2">
            <w:pPr>
              <w:pageBreakBefore w:val="0"/>
              <w:kinsoku/>
              <w:wordWrap/>
              <w:overflowPunct/>
              <w:topLinePunct w:val="0"/>
              <w:bidi w:val="0"/>
              <w:adjustRightInd w:val="0"/>
              <w:spacing w:line="360" w:lineRule="exact"/>
              <w:rPr>
                <w:sz w:val="18"/>
                <w:szCs w:val="18"/>
              </w:rPr>
            </w:pPr>
            <w:r>
              <w:rPr>
                <w:rFonts w:hint="eastAsia"/>
                <w:sz w:val="18"/>
                <w:szCs w:val="18"/>
              </w:rPr>
              <w:t>《幼儿园环境创设》</w:t>
            </w:r>
          </w:p>
        </w:tc>
      </w:tr>
      <w:tr w14:paraId="4F16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381" w:type="pct"/>
            <w:tcFitText/>
            <w:vAlign w:val="center"/>
          </w:tcPr>
          <w:p w14:paraId="1EF58DA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1080" w:type="pct"/>
            <w:vAlign w:val="center"/>
          </w:tcPr>
          <w:p w14:paraId="4F3510BD">
            <w:pPr>
              <w:pageBreakBefore w:val="0"/>
              <w:kinsoku/>
              <w:wordWrap/>
              <w:overflowPunct/>
              <w:topLinePunct w:val="0"/>
              <w:bidi w:val="0"/>
              <w:adjustRightInd w:val="0"/>
              <w:spacing w:line="360" w:lineRule="exact"/>
              <w:jc w:val="center"/>
              <w:rPr>
                <w:rFonts w:ascii="宋体" w:hAnsi="宋体" w:cs="宋体"/>
                <w:bCs/>
                <w:sz w:val="18"/>
                <w:szCs w:val="18"/>
              </w:rPr>
            </w:pPr>
            <w:r>
              <w:rPr>
                <w:rFonts w:hint="eastAsia"/>
                <w:sz w:val="18"/>
                <w:szCs w:val="18"/>
              </w:rPr>
              <w:t>钢琴教学实训室</w:t>
            </w:r>
          </w:p>
        </w:tc>
        <w:tc>
          <w:tcPr>
            <w:tcW w:w="1376" w:type="pct"/>
            <w:vAlign w:val="center"/>
          </w:tcPr>
          <w:p w14:paraId="540F3194">
            <w:pPr>
              <w:pageBreakBefore w:val="0"/>
              <w:kinsoku/>
              <w:wordWrap/>
              <w:overflowPunct/>
              <w:topLinePunct w:val="0"/>
              <w:bidi w:val="0"/>
              <w:adjustRightInd w:val="0"/>
              <w:spacing w:line="360" w:lineRule="exact"/>
              <w:ind w:firstLine="360" w:firstLineChars="200"/>
              <w:jc w:val="left"/>
              <w:rPr>
                <w:rFonts w:ascii="宋体" w:hAnsi="宋体" w:cs="宋体"/>
                <w:bCs/>
                <w:sz w:val="18"/>
                <w:szCs w:val="18"/>
              </w:rPr>
            </w:pPr>
            <w:r>
              <w:rPr>
                <w:rFonts w:hint="eastAsia"/>
                <w:sz w:val="18"/>
                <w:szCs w:val="18"/>
              </w:rPr>
              <w:t>用于钢琴基础技能练习、 幼儿歌曲弹唱能力训练等实训教学。</w:t>
            </w:r>
          </w:p>
        </w:tc>
        <w:tc>
          <w:tcPr>
            <w:tcW w:w="619" w:type="pct"/>
            <w:vAlign w:val="center"/>
          </w:tcPr>
          <w:p w14:paraId="08012398">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sz w:val="18"/>
                <w:szCs w:val="18"/>
              </w:rPr>
              <w:t>300</w:t>
            </w:r>
          </w:p>
        </w:tc>
        <w:tc>
          <w:tcPr>
            <w:tcW w:w="642" w:type="pct"/>
            <w:vAlign w:val="center"/>
          </w:tcPr>
          <w:p w14:paraId="7322EC97">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sz w:val="18"/>
                <w:szCs w:val="18"/>
              </w:rPr>
              <w:t>60</w:t>
            </w:r>
          </w:p>
        </w:tc>
        <w:tc>
          <w:tcPr>
            <w:tcW w:w="899" w:type="pct"/>
            <w:vAlign w:val="center"/>
          </w:tcPr>
          <w:p w14:paraId="085EBE4C">
            <w:pPr>
              <w:pageBreakBefore w:val="0"/>
              <w:kinsoku/>
              <w:wordWrap/>
              <w:overflowPunct/>
              <w:topLinePunct w:val="0"/>
              <w:bidi w:val="0"/>
              <w:adjustRightInd w:val="0"/>
              <w:spacing w:line="360" w:lineRule="exact"/>
              <w:rPr>
                <w:sz w:val="18"/>
                <w:szCs w:val="18"/>
              </w:rPr>
            </w:pPr>
            <w:r>
              <w:rPr>
                <w:rFonts w:hint="eastAsia"/>
                <w:sz w:val="18"/>
                <w:szCs w:val="18"/>
              </w:rPr>
              <w:t>《钢琴》</w:t>
            </w:r>
          </w:p>
          <w:p w14:paraId="3C383CDB">
            <w:pPr>
              <w:pageBreakBefore w:val="0"/>
              <w:kinsoku/>
              <w:wordWrap/>
              <w:overflowPunct/>
              <w:topLinePunct w:val="0"/>
              <w:bidi w:val="0"/>
              <w:adjustRightInd w:val="0"/>
              <w:spacing w:line="360" w:lineRule="exact"/>
              <w:rPr>
                <w:rFonts w:ascii="宋体" w:hAnsi="宋体" w:cs="宋体"/>
                <w:bCs/>
                <w:sz w:val="18"/>
                <w:szCs w:val="18"/>
              </w:rPr>
            </w:pPr>
            <w:r>
              <w:rPr>
                <w:rFonts w:hint="eastAsia"/>
                <w:sz w:val="18"/>
                <w:szCs w:val="18"/>
              </w:rPr>
              <w:t>《儿歌弹唱》</w:t>
            </w:r>
          </w:p>
        </w:tc>
      </w:tr>
    </w:tbl>
    <w:p w14:paraId="63AFF0E0">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r>
        <w:rPr>
          <w:rFonts w:hint="eastAsia" w:ascii="宋体" w:hAnsi="宋体" w:cs="宋体"/>
          <w:b/>
          <w:bCs/>
          <w:szCs w:val="21"/>
        </w:rPr>
        <w:t>3.校外实训基地基本要求</w:t>
      </w:r>
    </w:p>
    <w:p w14:paraId="7ECEC0C9">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校外实训基地应具备合法合规的资质，包括但不限于教育主管部门颁发的相关证书或许可证，以证明其具备开展学前教育实践活动的资格和能力。同时，基地单位的社会声誉和业界评价也应作为考察的重要参考。</w:t>
      </w:r>
    </w:p>
    <w:p w14:paraId="78FD1CF2">
      <w:pPr>
        <w:pageBreakBefore w:val="0"/>
        <w:kinsoku/>
        <w:wordWrap/>
        <w:overflowPunct/>
        <w:topLinePunct w:val="0"/>
        <w:bidi w:val="0"/>
        <w:adjustRightInd w:val="0"/>
        <w:snapToGrid w:val="0"/>
        <w:spacing w:line="360" w:lineRule="exact"/>
        <w:ind w:firstLine="420" w:firstLineChars="200"/>
        <w:rPr>
          <w:szCs w:val="21"/>
        </w:rPr>
      </w:pPr>
      <w:r>
        <w:rPr>
          <w:rFonts w:hint="eastAsia"/>
          <w:szCs w:val="21"/>
        </w:rPr>
        <w:t xml:space="preserve">校外实训基地的业务范围应与学前教育专业的教学实践需求紧密对接，能够为学生提供丰富的实践机会和真实的职业环境。基地单位应明确其在学前教育领域的功能定位，确保学生能够在实践中得到充分的锻炼和提升。 </w:t>
      </w:r>
    </w:p>
    <w:p w14:paraId="31C04CA1">
      <w:pPr>
        <w:pStyle w:val="2"/>
        <w:pageBreakBefore w:val="0"/>
        <w:kinsoku/>
        <w:wordWrap/>
        <w:overflowPunct/>
        <w:topLinePunct w:val="0"/>
        <w:bidi w:val="0"/>
        <w:adjustRightInd w:val="0"/>
        <w:snapToGrid w:val="0"/>
        <w:spacing w:after="0" w:line="360" w:lineRule="exact"/>
        <w:ind w:firstLine="420" w:firstLineChars="200"/>
        <w:jc w:val="left"/>
        <w:rPr>
          <w:b/>
          <w:bCs/>
          <w:szCs w:val="21"/>
        </w:rPr>
      </w:pPr>
      <w:r>
        <w:rPr>
          <w:rFonts w:hint="eastAsia"/>
          <w:szCs w:val="21"/>
        </w:rPr>
        <w:t>基地单位应为学生提供充足的实习时间和岗位，确保学生能够在实践中全面了解和掌握学前教育的各项知识和技能。同时，基地单位应配备经验丰富的指导教师和工作人员，对学生的实习过程进行全程跟踪和指导，帮助学生解决实践中的问题和困惑。</w:t>
      </w:r>
    </w:p>
    <w:p w14:paraId="637FDE1F">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校外实训基地概况</w:t>
      </w:r>
    </w:p>
    <w:tbl>
      <w:tblPr>
        <w:tblStyle w:val="15"/>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392"/>
        <w:gridCol w:w="2147"/>
        <w:gridCol w:w="2145"/>
        <w:gridCol w:w="1587"/>
      </w:tblGrid>
      <w:tr w14:paraId="60E2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32" w:type="pct"/>
            <w:vAlign w:val="center"/>
          </w:tcPr>
          <w:p w14:paraId="4A1DCB0B">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序号</w:t>
            </w:r>
          </w:p>
        </w:tc>
        <w:tc>
          <w:tcPr>
            <w:tcW w:w="1320" w:type="pct"/>
            <w:vAlign w:val="center"/>
          </w:tcPr>
          <w:p w14:paraId="59D68E3A">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校外实训基地名称</w:t>
            </w:r>
          </w:p>
        </w:tc>
        <w:tc>
          <w:tcPr>
            <w:tcW w:w="1185" w:type="pct"/>
            <w:vAlign w:val="center"/>
          </w:tcPr>
          <w:p w14:paraId="708BE299">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合作企业名称</w:t>
            </w:r>
          </w:p>
        </w:tc>
        <w:tc>
          <w:tcPr>
            <w:tcW w:w="1184" w:type="pct"/>
            <w:vAlign w:val="center"/>
          </w:tcPr>
          <w:p w14:paraId="597AADE5">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合作项目</w:t>
            </w:r>
          </w:p>
        </w:tc>
        <w:tc>
          <w:tcPr>
            <w:tcW w:w="876" w:type="pct"/>
            <w:vAlign w:val="center"/>
          </w:tcPr>
          <w:p w14:paraId="06903DC7">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合作深度</w:t>
            </w:r>
          </w:p>
        </w:tc>
      </w:tr>
      <w:tr w14:paraId="16EB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3E25959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1320" w:type="pct"/>
            <w:vAlign w:val="center"/>
          </w:tcPr>
          <w:p w14:paraId="4C2E67A1">
            <w:pPr>
              <w:pStyle w:val="6"/>
              <w:pageBreakBefore w:val="0"/>
              <w:kinsoku/>
              <w:wordWrap/>
              <w:overflowPunct/>
              <w:topLinePunct w:val="0"/>
              <w:bidi w:val="0"/>
              <w:spacing w:line="360" w:lineRule="exact"/>
              <w:jc w:val="center"/>
              <w:outlineLvl w:val="3"/>
              <w:rPr>
                <w:color w:val="auto"/>
                <w:sz w:val="18"/>
                <w:szCs w:val="18"/>
                <w:lang w:val="zh-CN"/>
              </w:rPr>
            </w:pPr>
            <w:r>
              <w:rPr>
                <w:rFonts w:hint="eastAsia" w:ascii="宋体" w:hAnsi="宋体" w:cs="宋体"/>
                <w:b w:val="0"/>
                <w:color w:val="auto"/>
                <w:sz w:val="18"/>
                <w:szCs w:val="18"/>
              </w:rPr>
              <w:t>许昌爱汀堡幼儿园</w:t>
            </w:r>
          </w:p>
        </w:tc>
        <w:tc>
          <w:tcPr>
            <w:tcW w:w="1185" w:type="pct"/>
            <w:vAlign w:val="center"/>
          </w:tcPr>
          <w:p w14:paraId="52DC3B03">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许昌市魏都区爱汀堡幼儿园</w:t>
            </w:r>
          </w:p>
        </w:tc>
        <w:tc>
          <w:tcPr>
            <w:tcW w:w="1184" w:type="pct"/>
            <w:vAlign w:val="center"/>
          </w:tcPr>
          <w:p w14:paraId="5C7806BD">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岗位实习</w:t>
            </w:r>
          </w:p>
        </w:tc>
        <w:tc>
          <w:tcPr>
            <w:tcW w:w="876" w:type="pct"/>
            <w:vAlign w:val="center"/>
          </w:tcPr>
          <w:p w14:paraId="099EDBED">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深度合作</w:t>
            </w:r>
          </w:p>
        </w:tc>
      </w:tr>
      <w:tr w14:paraId="60AD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5C9B441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1320" w:type="pct"/>
            <w:vAlign w:val="center"/>
          </w:tcPr>
          <w:p w14:paraId="03C221B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北海瀚迪公学幼儿园</w:t>
            </w:r>
          </w:p>
        </w:tc>
        <w:tc>
          <w:tcPr>
            <w:tcW w:w="1185" w:type="pct"/>
            <w:vAlign w:val="center"/>
          </w:tcPr>
          <w:p w14:paraId="4A990054">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许昌市建安区</w:t>
            </w:r>
            <w:r>
              <w:rPr>
                <w:rFonts w:hint="eastAsia" w:ascii="宋体" w:hAnsi="宋体" w:cs="宋体"/>
                <w:sz w:val="18"/>
                <w:szCs w:val="18"/>
              </w:rPr>
              <w:t>瀚迪</w:t>
            </w:r>
            <w:r>
              <w:rPr>
                <w:rFonts w:hint="eastAsia" w:ascii="宋体" w:hAnsi="宋体" w:cs="宋体"/>
                <w:sz w:val="18"/>
                <w:szCs w:val="18"/>
                <w:lang w:val="en-US" w:eastAsia="zh-CN"/>
              </w:rPr>
              <w:t>北海龙城幼儿园</w:t>
            </w:r>
          </w:p>
        </w:tc>
        <w:tc>
          <w:tcPr>
            <w:tcW w:w="1184" w:type="pct"/>
            <w:vAlign w:val="center"/>
          </w:tcPr>
          <w:p w14:paraId="6671BB01">
            <w:pPr>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岗位实习</w:t>
            </w:r>
          </w:p>
        </w:tc>
        <w:tc>
          <w:tcPr>
            <w:tcW w:w="876" w:type="pct"/>
            <w:vAlign w:val="center"/>
          </w:tcPr>
          <w:p w14:paraId="2F6F37FB">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一般合作</w:t>
            </w:r>
          </w:p>
        </w:tc>
      </w:tr>
      <w:tr w14:paraId="3619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3C044C7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w:t>
            </w:r>
          </w:p>
        </w:tc>
        <w:tc>
          <w:tcPr>
            <w:tcW w:w="1320" w:type="pct"/>
            <w:vAlign w:val="center"/>
          </w:tcPr>
          <w:p w14:paraId="18837513">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许昌市政府机关幼儿园</w:t>
            </w:r>
          </w:p>
        </w:tc>
        <w:tc>
          <w:tcPr>
            <w:tcW w:w="1185" w:type="pct"/>
            <w:vAlign w:val="center"/>
          </w:tcPr>
          <w:p w14:paraId="105857F5">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许昌市</w:t>
            </w:r>
            <w:r>
              <w:rPr>
                <w:rFonts w:hint="eastAsia" w:ascii="宋体" w:hAnsi="宋体" w:cs="宋体"/>
                <w:b w:val="0"/>
                <w:color w:val="auto"/>
                <w:sz w:val="18"/>
                <w:szCs w:val="18"/>
                <w:lang w:val="en-US" w:eastAsia="zh-CN"/>
              </w:rPr>
              <w:t>人民</w:t>
            </w:r>
            <w:r>
              <w:rPr>
                <w:rFonts w:hint="eastAsia" w:ascii="宋体" w:hAnsi="宋体" w:cs="宋体"/>
                <w:b w:val="0"/>
                <w:color w:val="auto"/>
                <w:sz w:val="18"/>
                <w:szCs w:val="18"/>
              </w:rPr>
              <w:t>政府机关幼儿园</w:t>
            </w:r>
          </w:p>
        </w:tc>
        <w:tc>
          <w:tcPr>
            <w:tcW w:w="1184" w:type="pct"/>
            <w:vAlign w:val="center"/>
          </w:tcPr>
          <w:p w14:paraId="6409F4F7">
            <w:pPr>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岗位实习</w:t>
            </w:r>
          </w:p>
        </w:tc>
        <w:tc>
          <w:tcPr>
            <w:tcW w:w="876" w:type="pct"/>
            <w:vAlign w:val="center"/>
          </w:tcPr>
          <w:p w14:paraId="4E61C69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一般合作</w:t>
            </w:r>
          </w:p>
        </w:tc>
      </w:tr>
      <w:tr w14:paraId="1186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3D2A0E9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1320" w:type="pct"/>
            <w:vAlign w:val="center"/>
          </w:tcPr>
          <w:p w14:paraId="356DD91B">
            <w:pPr>
              <w:pStyle w:val="6"/>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蒙台梭利托育园</w:t>
            </w:r>
          </w:p>
        </w:tc>
        <w:tc>
          <w:tcPr>
            <w:tcW w:w="1185" w:type="pct"/>
            <w:vAlign w:val="center"/>
          </w:tcPr>
          <w:p w14:paraId="1CB41E8A">
            <w:pPr>
              <w:pStyle w:val="6"/>
              <w:pageBreakBefore w:val="0"/>
              <w:kinsoku/>
              <w:wordWrap/>
              <w:overflowPunct/>
              <w:topLinePunct w:val="0"/>
              <w:bidi w:val="0"/>
              <w:spacing w:line="360" w:lineRule="exact"/>
              <w:jc w:val="center"/>
              <w:outlineLvl w:val="3"/>
              <w:rPr>
                <w:rFonts w:hint="default" w:ascii="宋体" w:hAnsi="宋体" w:eastAsia="宋体" w:cs="宋体"/>
                <w:b w:val="0"/>
                <w:color w:val="auto"/>
                <w:sz w:val="18"/>
                <w:szCs w:val="18"/>
                <w:lang w:val="en-US" w:eastAsia="zh-CN"/>
              </w:rPr>
            </w:pPr>
            <w:r>
              <w:rPr>
                <w:rFonts w:hint="eastAsia" w:ascii="宋体" w:hAnsi="宋体" w:cs="宋体"/>
                <w:b w:val="0"/>
                <w:color w:val="auto"/>
                <w:sz w:val="18"/>
                <w:szCs w:val="18"/>
                <w:lang w:val="zh-CN"/>
              </w:rPr>
              <w:t>深圳慧文教育</w:t>
            </w:r>
            <w:r>
              <w:rPr>
                <w:rFonts w:hint="eastAsia" w:ascii="宋体" w:hAnsi="宋体" w:cs="宋体"/>
                <w:b w:val="0"/>
                <w:color w:val="auto"/>
                <w:sz w:val="18"/>
                <w:szCs w:val="18"/>
                <w:lang w:val="en-US" w:eastAsia="zh-CN"/>
              </w:rPr>
              <w:t>咨询有限公司</w:t>
            </w:r>
          </w:p>
        </w:tc>
        <w:tc>
          <w:tcPr>
            <w:tcW w:w="1184" w:type="pct"/>
            <w:vAlign w:val="center"/>
          </w:tcPr>
          <w:p w14:paraId="5641480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b w:val="0"/>
                <w:color w:val="auto"/>
                <w:sz w:val="18"/>
                <w:szCs w:val="18"/>
              </w:rPr>
              <w:t>岗位实习</w:t>
            </w:r>
          </w:p>
        </w:tc>
        <w:tc>
          <w:tcPr>
            <w:tcW w:w="876" w:type="pct"/>
            <w:vAlign w:val="center"/>
          </w:tcPr>
          <w:p w14:paraId="0CD55A3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深度合作</w:t>
            </w:r>
          </w:p>
        </w:tc>
      </w:tr>
      <w:tr w14:paraId="52D3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7149FB6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5</w:t>
            </w:r>
          </w:p>
        </w:tc>
        <w:tc>
          <w:tcPr>
            <w:tcW w:w="1320" w:type="pct"/>
            <w:vAlign w:val="center"/>
          </w:tcPr>
          <w:p w14:paraId="0BD974C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真爱幼幼早教机构</w:t>
            </w:r>
          </w:p>
        </w:tc>
        <w:tc>
          <w:tcPr>
            <w:tcW w:w="1185" w:type="pct"/>
            <w:vAlign w:val="center"/>
          </w:tcPr>
          <w:p w14:paraId="7851FDB9">
            <w:pPr>
              <w:pageBreakBefore w:val="0"/>
              <w:kinsoku/>
              <w:wordWrap/>
              <w:overflowPunct/>
              <w:topLinePunct w:val="0"/>
              <w:bidi w:val="0"/>
              <w:spacing w:line="360" w:lineRule="exact"/>
              <w:jc w:val="center"/>
              <w:rPr>
                <w:rFonts w:hint="default" w:ascii="宋体" w:hAnsi="宋体" w:eastAsia="宋体" w:cs="宋体"/>
                <w:sz w:val="18"/>
                <w:szCs w:val="18"/>
                <w:lang w:val="en-US" w:eastAsia="zh-CN"/>
              </w:rPr>
            </w:pPr>
            <w:r>
              <w:rPr>
                <w:rFonts w:hint="eastAsia" w:ascii="宋体" w:hAnsi="宋体" w:cs="宋体"/>
                <w:sz w:val="18"/>
                <w:szCs w:val="18"/>
              </w:rPr>
              <w:t>北京奕杰</w:t>
            </w:r>
            <w:r>
              <w:rPr>
                <w:rFonts w:hint="eastAsia" w:ascii="宋体" w:hAnsi="宋体" w:cs="宋体"/>
                <w:sz w:val="18"/>
                <w:szCs w:val="18"/>
                <w:lang w:val="en-US" w:eastAsia="zh-CN"/>
              </w:rPr>
              <w:t>科技有限公司</w:t>
            </w:r>
          </w:p>
        </w:tc>
        <w:tc>
          <w:tcPr>
            <w:tcW w:w="1184" w:type="pct"/>
            <w:vAlign w:val="center"/>
          </w:tcPr>
          <w:p w14:paraId="42FC0D3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b w:val="0"/>
                <w:color w:val="auto"/>
                <w:sz w:val="18"/>
                <w:szCs w:val="18"/>
              </w:rPr>
              <w:t>岗位实习</w:t>
            </w:r>
          </w:p>
        </w:tc>
        <w:tc>
          <w:tcPr>
            <w:tcW w:w="876" w:type="pct"/>
            <w:vAlign w:val="center"/>
          </w:tcPr>
          <w:p w14:paraId="33283CC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深度合作</w:t>
            </w:r>
          </w:p>
        </w:tc>
      </w:tr>
      <w:tr w14:paraId="5A8F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60D276B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1320" w:type="pct"/>
            <w:vAlign w:val="center"/>
          </w:tcPr>
          <w:p w14:paraId="45A5DD9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许昌市文化街幼儿园</w:t>
            </w:r>
          </w:p>
        </w:tc>
        <w:tc>
          <w:tcPr>
            <w:tcW w:w="1185" w:type="pct"/>
            <w:shd w:val="clear" w:color="auto" w:fill="auto"/>
            <w:vAlign w:val="center"/>
          </w:tcPr>
          <w:p w14:paraId="66698F4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许昌市文化街幼儿园</w:t>
            </w:r>
          </w:p>
        </w:tc>
        <w:tc>
          <w:tcPr>
            <w:tcW w:w="1184" w:type="pct"/>
            <w:shd w:val="clear" w:color="auto" w:fill="auto"/>
            <w:vAlign w:val="center"/>
          </w:tcPr>
          <w:p w14:paraId="5EDFE847">
            <w:pPr>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岗位实习</w:t>
            </w:r>
          </w:p>
        </w:tc>
        <w:tc>
          <w:tcPr>
            <w:tcW w:w="876" w:type="pct"/>
            <w:shd w:val="clear" w:color="auto" w:fill="auto"/>
            <w:vAlign w:val="center"/>
          </w:tcPr>
          <w:p w14:paraId="404E1BB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一般合作</w:t>
            </w:r>
          </w:p>
        </w:tc>
      </w:tr>
      <w:tr w14:paraId="7434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5AF7207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7</w:t>
            </w:r>
          </w:p>
        </w:tc>
        <w:tc>
          <w:tcPr>
            <w:tcW w:w="1320" w:type="pct"/>
            <w:vAlign w:val="center"/>
          </w:tcPr>
          <w:p w14:paraId="7570B7E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许昌市实验幼儿园</w:t>
            </w:r>
          </w:p>
        </w:tc>
        <w:tc>
          <w:tcPr>
            <w:tcW w:w="1185" w:type="pct"/>
            <w:shd w:val="clear" w:color="auto" w:fill="auto"/>
            <w:vAlign w:val="center"/>
          </w:tcPr>
          <w:p w14:paraId="02DB9D8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许昌市实验幼儿园</w:t>
            </w:r>
          </w:p>
        </w:tc>
        <w:tc>
          <w:tcPr>
            <w:tcW w:w="1184" w:type="pct"/>
            <w:shd w:val="clear" w:color="auto" w:fill="auto"/>
            <w:vAlign w:val="center"/>
          </w:tcPr>
          <w:p w14:paraId="04A37FFB">
            <w:pPr>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岗位实习</w:t>
            </w:r>
          </w:p>
        </w:tc>
        <w:tc>
          <w:tcPr>
            <w:tcW w:w="876" w:type="pct"/>
            <w:shd w:val="clear" w:color="auto" w:fill="auto"/>
            <w:vAlign w:val="center"/>
          </w:tcPr>
          <w:p w14:paraId="27B6574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一般合作</w:t>
            </w:r>
          </w:p>
        </w:tc>
      </w:tr>
    </w:tbl>
    <w:p w14:paraId="7C640799">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4.学生实习基地基本要求</w:t>
      </w:r>
    </w:p>
    <w:p w14:paraId="3B841249">
      <w:pPr>
        <w:keepNext w:val="0"/>
        <w:keepLines w:val="0"/>
        <w:pageBreakBefore w:val="0"/>
        <w:widowControl w:val="0"/>
        <w:kinsoku/>
        <w:wordWrap/>
        <w:overflowPunct/>
        <w:topLinePunct w:val="0"/>
        <w:bidi w:val="0"/>
        <w:adjustRightInd w:val="0"/>
        <w:spacing w:line="360" w:lineRule="exact"/>
        <w:ind w:firstLine="420" w:firstLineChars="200"/>
        <w:textAlignment w:val="auto"/>
      </w:pPr>
      <w:bookmarkStart w:id="52" w:name="_Toc25415"/>
      <w:bookmarkStart w:id="53" w:name="_Toc22349"/>
      <w:r>
        <w:rPr>
          <w:rFonts w:hint="eastAsia"/>
        </w:rPr>
        <w:t>本专业校外实习基地为北京市、深圳市等示范幼儿园为主的优质幼儿园及相关教培机构。具有学前教育发展的科学理念和教育方法；达到一定接纳规模；师资力量强，能对学生进行实习指导与管理；保障学生日常工作、学习、生活，有安全、保险保障。</w:t>
      </w:r>
    </w:p>
    <w:p w14:paraId="5218E855">
      <w:pPr>
        <w:keepNext w:val="0"/>
        <w:keepLines w:val="0"/>
        <w:pageBreakBefore w:val="0"/>
        <w:widowControl w:val="0"/>
        <w:kinsoku/>
        <w:wordWrap/>
        <w:overflowPunct/>
        <w:topLinePunct w:val="0"/>
        <w:bidi w:val="0"/>
        <w:adjustRightInd w:val="0"/>
        <w:spacing w:line="360" w:lineRule="exact"/>
        <w:ind w:firstLine="420" w:firstLineChars="200"/>
        <w:textAlignment w:val="auto"/>
      </w:pPr>
      <w:r>
        <w:rPr>
          <w:rFonts w:hint="eastAsia"/>
        </w:rPr>
        <w:t>同时，专业也积极对外合作，开展访企拓岗工作，探索校企合作新模式。</w:t>
      </w:r>
    </w:p>
    <w:p w14:paraId="77163274">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（三）教学资源</w:t>
      </w:r>
      <w:bookmarkEnd w:id="52"/>
      <w:bookmarkEnd w:id="53"/>
    </w:p>
    <w:p w14:paraId="7D148917">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1.教材选用基本要求</w:t>
      </w:r>
    </w:p>
    <w:p w14:paraId="6EA69388">
      <w:pPr>
        <w:pStyle w:val="5"/>
        <w:keepNext w:val="0"/>
        <w:keepLines w:val="0"/>
        <w:pageBreakBefore w:val="0"/>
        <w:widowControl w:val="0"/>
        <w:kinsoku/>
        <w:wordWrap/>
        <w:overflowPunct/>
        <w:topLinePunct w:val="0"/>
        <w:bidi w:val="0"/>
        <w:adjustRightInd w:val="0"/>
        <w:spacing w:before="0" w:after="0" w:line="360" w:lineRule="exact"/>
        <w:ind w:firstLine="420" w:firstLineChars="200"/>
        <w:textAlignment w:val="auto"/>
        <w:rPr>
          <w:rFonts w:ascii="宋体" w:hAnsi="宋体" w:cs="宋体"/>
          <w:b w:val="0"/>
          <w:bCs w:val="0"/>
          <w:sz w:val="21"/>
          <w:szCs w:val="21"/>
        </w:rPr>
      </w:pPr>
      <w:r>
        <w:rPr>
          <w:rFonts w:hint="eastAsia" w:ascii="宋体" w:hAnsi="宋体" w:cs="宋体"/>
          <w:b w:val="0"/>
          <w:bCs w:val="0"/>
          <w:sz w:val="21"/>
          <w:szCs w:val="21"/>
        </w:rPr>
        <w:t>按照国家的规定，优选国家规划教材或省十四五规划职业教育教材，近三年出版为优（80%以上），专业课程教材体现新时代学前教育发展趋势。配备一定数字化教材等多种新形态教材，并进行动态更新。由专业教师初选、行业专家和教研人员等优化终选的方式选用教材，严格杜绝不合格的教材进入课堂。</w:t>
      </w:r>
    </w:p>
    <w:p w14:paraId="4250E710">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2.图书文献配备基本要求</w:t>
      </w:r>
    </w:p>
    <w:p w14:paraId="0761565A">
      <w:pPr>
        <w:pStyle w:val="5"/>
        <w:keepNext w:val="0"/>
        <w:keepLines w:val="0"/>
        <w:pageBreakBefore w:val="0"/>
        <w:widowControl w:val="0"/>
        <w:kinsoku/>
        <w:wordWrap/>
        <w:overflowPunct/>
        <w:topLinePunct w:val="0"/>
        <w:bidi w:val="0"/>
        <w:adjustRightInd w:val="0"/>
        <w:spacing w:before="0" w:after="0" w:line="360" w:lineRule="exact"/>
        <w:ind w:firstLine="420" w:firstLineChars="200"/>
        <w:textAlignment w:val="auto"/>
      </w:pPr>
      <w:r>
        <w:rPr>
          <w:rFonts w:hint="eastAsia" w:ascii="宋体" w:hAnsi="宋体" w:cs="宋体"/>
          <w:b w:val="0"/>
          <w:bCs w:val="0"/>
          <w:sz w:val="21"/>
          <w:szCs w:val="21"/>
        </w:rPr>
        <w:t>本专业的图书馆图书以生均30册书配置，并逐季更新。包括有关学前教育专业理论、技术、方法、思维以及实务操作类图书和文献。在数量和质量上能满足人才培养、专业建设、教科研等工作的需要，并能方便师生查询、借阅。</w:t>
      </w:r>
    </w:p>
    <w:p w14:paraId="2F9A3304">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3.数字教学资源配备基本要求</w:t>
      </w:r>
    </w:p>
    <w:p w14:paraId="27AF8E41">
      <w:pPr>
        <w:keepNext w:val="0"/>
        <w:keepLines w:val="0"/>
        <w:pageBreakBefore w:val="0"/>
        <w:widowControl w:val="0"/>
        <w:kinsoku/>
        <w:wordWrap/>
        <w:overflowPunct/>
        <w:topLinePunct w:val="0"/>
        <w:bidi w:val="0"/>
        <w:adjustRightInd w:val="0"/>
        <w:spacing w:line="360" w:lineRule="exact"/>
        <w:ind w:firstLine="420" w:firstLineChars="200"/>
        <w:textAlignment w:val="auto"/>
        <w:rPr>
          <w:szCs w:val="21"/>
        </w:rPr>
      </w:pPr>
      <w:bookmarkStart w:id="54" w:name="_Toc16895"/>
      <w:bookmarkStart w:id="55" w:name="_Toc9874"/>
      <w:r>
        <w:rPr>
          <w:rFonts w:hint="eastAsia"/>
          <w:szCs w:val="21"/>
        </w:rPr>
        <w:t>（1）专业核心在线课程建设。近年来，以慕课、微课程、翻转课堂、缓和式教学为代表的基于互联网的教学模式应运而生并走向实用。本校基于专业特色，选择专业核心课程进行专业核心在线课程建设。其突破了学生学习时间和空间的局限性，实现个性化线上学习，共享优质课程资源，扩大优质教育覆盖面，鼓励学生自主学习与合作学习、改革传统教学方式创造了非常有利的条件，有利于提高教学质量，改善教学效益。</w:t>
      </w:r>
    </w:p>
    <w:p w14:paraId="4E61FB39">
      <w:pPr>
        <w:keepNext w:val="0"/>
        <w:keepLines w:val="0"/>
        <w:pageBreakBefore w:val="0"/>
        <w:widowControl w:val="0"/>
        <w:kinsoku/>
        <w:wordWrap/>
        <w:overflowPunct/>
        <w:topLinePunct w:val="0"/>
        <w:bidi w:val="0"/>
        <w:adjustRightInd w:val="0"/>
        <w:spacing w:line="360" w:lineRule="exact"/>
        <w:ind w:firstLine="420" w:firstLineChars="200"/>
        <w:textAlignment w:val="auto"/>
        <w:rPr>
          <w:szCs w:val="21"/>
        </w:rPr>
      </w:pPr>
      <w:r>
        <w:rPr>
          <w:rFonts w:hint="eastAsia"/>
          <w:szCs w:val="21"/>
        </w:rPr>
        <w:t>（2）专业校内教学资源库建设。</w:t>
      </w:r>
      <w:r>
        <w:rPr>
          <w:rFonts w:hint="eastAsia" w:ascii="宋体" w:hAnsi="宋体" w:cs="宋体"/>
          <w:szCs w:val="21"/>
        </w:rPr>
        <w:t>所在系部和教研室还创新自建案例库，将所有教师将自己的教学案例集中整理，资源共享，并随时更新，形成了专业教学的一大特色。</w:t>
      </w:r>
    </w:p>
    <w:p w14:paraId="43F83C70">
      <w:pPr>
        <w:keepNext w:val="0"/>
        <w:keepLines w:val="0"/>
        <w:pageBreakBefore w:val="0"/>
        <w:widowControl w:val="0"/>
        <w:kinsoku/>
        <w:wordWrap/>
        <w:overflowPunct/>
        <w:topLinePunct w:val="0"/>
        <w:bidi w:val="0"/>
        <w:adjustRightInd w:val="0"/>
        <w:spacing w:line="360" w:lineRule="exact"/>
        <w:ind w:firstLine="420" w:firstLineChars="200"/>
        <w:textAlignment w:val="auto"/>
        <w:rPr>
          <w:rFonts w:ascii="宋体" w:hAnsi="宋体" w:cs="宋体"/>
          <w:szCs w:val="21"/>
        </w:rPr>
      </w:pPr>
      <w:r>
        <w:rPr>
          <w:rFonts w:hint="eastAsia"/>
          <w:szCs w:val="21"/>
        </w:rPr>
        <w:t>（3）开发、使用替代性虚拟仿真实训系统或仿真教学软件等。</w:t>
      </w:r>
      <w:r>
        <w:rPr>
          <w:rFonts w:hint="eastAsia" w:ascii="宋体" w:hAnsi="宋体" w:cs="宋体"/>
          <w:szCs w:val="21"/>
        </w:rPr>
        <w:t>根据本专业的现实需要和动态发展，建设、配备有本专业有关的音视频素材、教学课件、数字化教学案例库、虚拟仿真软件、数字教材等专业教学资源库，种类丰富、形式多样、使用便捷、动态更新，能满足教学要求。</w:t>
      </w:r>
    </w:p>
    <w:p w14:paraId="5B451159">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（四）教学方法</w:t>
      </w:r>
      <w:bookmarkEnd w:id="54"/>
      <w:bookmarkEnd w:id="55"/>
    </w:p>
    <w:p w14:paraId="55F9FCBC">
      <w:pPr>
        <w:keepNext w:val="0"/>
        <w:keepLines w:val="0"/>
        <w:pageBreakBefore w:val="0"/>
        <w:widowControl w:val="0"/>
        <w:kinsoku/>
        <w:wordWrap/>
        <w:overflowPunct/>
        <w:topLinePunct w:val="0"/>
        <w:bidi w:val="0"/>
        <w:adjustRightInd w:val="0"/>
        <w:spacing w:line="360" w:lineRule="exact"/>
        <w:ind w:firstLine="420" w:firstLineChars="200"/>
        <w:textAlignment w:val="auto"/>
        <w:rPr>
          <w:rFonts w:ascii="宋体" w:hAnsi="宋体" w:cs="宋体"/>
          <w:szCs w:val="21"/>
        </w:rPr>
      </w:pPr>
      <w:bookmarkStart w:id="56" w:name="_Toc114"/>
      <w:bookmarkStart w:id="57" w:name="_Toc31917"/>
      <w:r>
        <w:rPr>
          <w:rFonts w:hint="eastAsia" w:ascii="宋体" w:hAnsi="宋体" w:cs="宋体"/>
          <w:szCs w:val="21"/>
        </w:rPr>
        <w:t>从职业教育的应用性、技术性、适用性等要求出发。本专业的教学方法突出实践性特点：</w:t>
      </w:r>
    </w:p>
    <w:p w14:paraId="3B5B97FC">
      <w:pPr>
        <w:keepNext w:val="0"/>
        <w:keepLines w:val="0"/>
        <w:pageBreakBefore w:val="0"/>
        <w:widowControl w:val="0"/>
        <w:kinsoku/>
        <w:wordWrap/>
        <w:overflowPunct/>
        <w:topLinePunct w:val="0"/>
        <w:autoSpaceDE w:val="0"/>
        <w:autoSpaceDN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1.突出课堂教学情境化，在认知实习中贯穿教学做一体化，以案例分析、模拟情景、角色分工、游戏、活动等各种灵活多样的方式，实现课堂教学中的教学做一体化，理实一体化教学方案的探索与提高。在提高学生学习兴趣的同时，融入岗位认知。</w:t>
      </w:r>
    </w:p>
    <w:p w14:paraId="11B54EB9">
      <w:pPr>
        <w:keepNext w:val="0"/>
        <w:keepLines w:val="0"/>
        <w:pageBreakBefore w:val="0"/>
        <w:widowControl w:val="0"/>
        <w:kinsoku/>
        <w:wordWrap/>
        <w:overflowPunct/>
        <w:topLinePunct w:val="0"/>
        <w:autoSpaceDE w:val="0"/>
        <w:autoSpaceDN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2.岗位实习制度。本专业第三和第四学期分别安排2周集中</w:t>
      </w:r>
      <w:r>
        <w:rPr>
          <w:rFonts w:hint="eastAsia" w:ascii="宋体" w:hAnsi="宋体" w:cs="宋体"/>
          <w:szCs w:val="21"/>
          <w:lang w:val="en-US" w:eastAsia="zh-CN"/>
        </w:rPr>
        <w:t>岗位</w:t>
      </w:r>
      <w:r>
        <w:rPr>
          <w:rFonts w:hint="eastAsia" w:ascii="宋体" w:hAnsi="宋体" w:cs="宋体"/>
          <w:szCs w:val="21"/>
        </w:rPr>
        <w:t>实习，第五和第六学期安排岗位实习，探索</w:t>
      </w:r>
      <w:r>
        <w:rPr>
          <w:rFonts w:hint="eastAsia" w:ascii="宋体" w:hAnsi="宋体" w:cs="宋体"/>
          <w:szCs w:val="21"/>
          <w:lang w:val="en-US" w:eastAsia="zh-CN"/>
        </w:rPr>
        <w:t>中国特色</w:t>
      </w:r>
      <w:r>
        <w:rPr>
          <w:rFonts w:hint="eastAsia" w:ascii="宋体" w:hAnsi="宋体" w:cs="宋体"/>
          <w:szCs w:val="21"/>
        </w:rPr>
        <w:t>学徒制，以“师傅带徒弟”的方便，让企业有实践经验的老员工、技术能手，手把手教学生。使学生在认知实习的磨练中，完成从生手——熟手——能手的转变。实现从实习到就业专业技能的无缝衔接。</w:t>
      </w:r>
    </w:p>
    <w:p w14:paraId="72535AE0">
      <w:pPr>
        <w:keepNext w:val="0"/>
        <w:keepLines w:val="0"/>
        <w:pageBreakBefore w:val="0"/>
        <w:widowControl w:val="0"/>
        <w:kinsoku/>
        <w:wordWrap/>
        <w:overflowPunct/>
        <w:topLinePunct w:val="0"/>
        <w:autoSpaceDE w:val="0"/>
        <w:autoSpaceDN w:val="0"/>
        <w:bidi w:val="0"/>
        <w:spacing w:line="360" w:lineRule="exact"/>
        <w:ind w:firstLine="420" w:firstLineChars="200"/>
        <w:jc w:val="left"/>
        <w:textAlignment w:val="auto"/>
        <w:rPr>
          <w:szCs w:val="21"/>
          <w:lang w:val="zh-CN"/>
        </w:rPr>
      </w:pPr>
      <w:r>
        <w:rPr>
          <w:rFonts w:hint="eastAsia" w:ascii="宋体" w:hAnsi="宋体" w:cs="宋体"/>
          <w:szCs w:val="21"/>
        </w:rPr>
        <w:t>3.引入劳模教学示范课。专业教学中将充分利用这一资源，将劳模精神、劳模技能等各种方式传递到下一代。</w:t>
      </w:r>
    </w:p>
    <w:p w14:paraId="58AD6CE8">
      <w:pPr>
        <w:keepNext w:val="0"/>
        <w:keepLines w:val="0"/>
        <w:pageBreakBefore w:val="0"/>
        <w:widowControl w:val="0"/>
        <w:kinsoku/>
        <w:wordWrap/>
        <w:overflowPunct/>
        <w:topLinePunct w:val="0"/>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（五）学习评价</w:t>
      </w:r>
      <w:bookmarkEnd w:id="56"/>
      <w:bookmarkEnd w:id="57"/>
    </w:p>
    <w:p w14:paraId="57D72592">
      <w:pPr>
        <w:keepNext w:val="0"/>
        <w:keepLines w:val="0"/>
        <w:pageBreakBefore w:val="0"/>
        <w:widowControl w:val="0"/>
        <w:kinsoku/>
        <w:wordWrap/>
        <w:overflowPunct/>
        <w:topLinePunct w:val="0"/>
        <w:autoSpaceDE w:val="0"/>
        <w:autoSpaceDN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1.严格落实培养目标和培养规格要求，以考试、考查、实践报告等多元化的方式，完成对学生的各项能力的全面考核与评价。</w:t>
      </w:r>
    </w:p>
    <w:p w14:paraId="369D61D4">
      <w:pPr>
        <w:keepNext w:val="0"/>
        <w:keepLines w:val="0"/>
        <w:pageBreakBefore w:val="0"/>
        <w:widowControl w:val="0"/>
        <w:kinsoku/>
        <w:wordWrap/>
        <w:overflowPunct/>
        <w:topLinePunct w:val="0"/>
        <w:autoSpaceDE w:val="0"/>
        <w:autoSpaceDN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2.注重学生平时表现和实践性活动(包括道德修养、创新活动、到课率等的综合表现)，平时考评成绩所占比例大于40%。</w:t>
      </w:r>
    </w:p>
    <w:p w14:paraId="66A13A97">
      <w:pPr>
        <w:keepNext w:val="0"/>
        <w:keepLines w:val="0"/>
        <w:pageBreakBefore w:val="0"/>
        <w:widowControl w:val="0"/>
        <w:kinsoku/>
        <w:wordWrap/>
        <w:overflowPunct/>
        <w:topLinePunct w:val="0"/>
        <w:autoSpaceDE w:val="0"/>
        <w:autoSpaceDN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3.引入实习单位评价机制。在实习中，应以实习单位的评价作为主要实习成绩。</w:t>
      </w:r>
    </w:p>
    <w:p w14:paraId="48FA6978">
      <w:pPr>
        <w:keepNext w:val="0"/>
        <w:keepLines w:val="0"/>
        <w:pageBreakBefore w:val="0"/>
        <w:widowControl w:val="0"/>
        <w:kinsoku/>
        <w:wordWrap/>
        <w:overflowPunct/>
        <w:topLinePunct w:val="0"/>
        <w:autoSpaceDE w:val="0"/>
        <w:autoSpaceDN w:val="0"/>
        <w:bidi w:val="0"/>
        <w:spacing w:line="360" w:lineRule="exact"/>
        <w:ind w:firstLine="420" w:firstLineChars="200"/>
        <w:jc w:val="left"/>
        <w:textAlignment w:val="auto"/>
        <w:rPr>
          <w:rFonts w:ascii="宋体" w:hAnsi="宋体" w:cs="宋体"/>
          <w:szCs w:val="21"/>
        </w:rPr>
      </w:pPr>
      <w:r>
        <w:rPr>
          <w:rFonts w:hint="eastAsia" w:ascii="宋体" w:hAnsi="宋体" w:cs="宋体"/>
          <w:szCs w:val="21"/>
        </w:rPr>
        <w:t>4.以证代考。本专业将组织学生考育婴师、营养保健师、幼儿教师、幼儿舞蹈教师、幼儿英语教师、蒙特梭利教育教师、早教开发教师等相关等级证书。如考取获证，相关课程免考，记载成绩为优秀。</w:t>
      </w:r>
    </w:p>
    <w:p w14:paraId="4A8F7DE7">
      <w:pPr>
        <w:pStyle w:val="4"/>
        <w:pageBreakBefore w:val="0"/>
        <w:kinsoku/>
        <w:wordWrap/>
        <w:overflowPunct/>
        <w:topLinePunct w:val="0"/>
        <w:bidi w:val="0"/>
        <w:adjustRightInd w:val="0"/>
        <w:spacing w:before="0" w:beforeLines="0" w:after="0" w:afterLines="0" w:line="360" w:lineRule="exact"/>
        <w:ind w:firstLine="420" w:firstLineChars="200"/>
        <w:rPr>
          <w:rFonts w:ascii="Times New Roman" w:hAnsi="Times New Roman"/>
          <w:color w:val="548DD4"/>
          <w:sz w:val="21"/>
          <w:szCs w:val="21"/>
          <w:lang w:val="zh-CN"/>
        </w:rPr>
      </w:pPr>
      <w:r>
        <w:rPr>
          <w:rFonts w:hint="eastAsia" w:ascii="宋体" w:hAnsi="宋体" w:cs="宋体"/>
          <w:b w:val="0"/>
          <w:bCs/>
          <w:sz w:val="21"/>
          <w:szCs w:val="21"/>
        </w:rPr>
        <w:t>5.毕业设计，根据具体情况，采取论文和实习报告等方式。</w:t>
      </w:r>
    </w:p>
    <w:p w14:paraId="02F702B7">
      <w:pPr>
        <w:pageBreakBefore w:val="0"/>
        <w:kinsoku/>
        <w:wordWrap/>
        <w:overflowPunct/>
        <w:topLinePunct w:val="0"/>
        <w:bidi w:val="0"/>
        <w:adjustRightInd w:val="0"/>
        <w:snapToGrid w:val="0"/>
        <w:spacing w:line="360" w:lineRule="exact"/>
        <w:ind w:firstLine="422" w:firstLineChars="200"/>
        <w:rPr>
          <w:rFonts w:ascii="宋体" w:hAnsi="宋体" w:cs="宋体"/>
          <w:b/>
          <w:bCs/>
          <w:szCs w:val="21"/>
        </w:rPr>
      </w:pPr>
      <w:bookmarkStart w:id="58" w:name="_Toc5581"/>
      <w:bookmarkStart w:id="59" w:name="_Toc23478"/>
      <w:r>
        <w:rPr>
          <w:rFonts w:hint="eastAsia" w:ascii="宋体" w:hAnsi="宋体" w:cs="宋体"/>
          <w:b/>
          <w:bCs/>
          <w:szCs w:val="21"/>
        </w:rPr>
        <w:t>（六）质量管理</w:t>
      </w:r>
      <w:bookmarkEnd w:id="58"/>
      <w:bookmarkEnd w:id="59"/>
    </w:p>
    <w:p w14:paraId="74EEA8FA">
      <w:pPr>
        <w:pageBreakBefore w:val="0"/>
        <w:kinsoku/>
        <w:wordWrap/>
        <w:overflowPunct/>
        <w:topLinePunct w:val="0"/>
        <w:bidi w:val="0"/>
        <w:adjustRightInd w:val="0"/>
        <w:spacing w:line="360" w:lineRule="exact"/>
        <w:ind w:firstLine="422" w:firstLineChars="200"/>
        <w:rPr>
          <w:rFonts w:ascii="宋体" w:hAnsi="宋体" w:cs="宋体"/>
          <w:b/>
          <w:bCs/>
          <w:szCs w:val="21"/>
        </w:rPr>
      </w:pPr>
      <w:r>
        <w:rPr>
          <w:rFonts w:hint="eastAsia" w:ascii="宋体" w:hAnsi="宋体" w:cs="宋体"/>
          <w:b/>
          <w:bCs/>
          <w:szCs w:val="21"/>
        </w:rPr>
        <w:t>1.建立组织体系，成立教学质量保证机构</w:t>
      </w:r>
    </w:p>
    <w:p w14:paraId="1FF76D7B">
      <w:pPr>
        <w:pageBreakBefore w:val="0"/>
        <w:kinsoku/>
        <w:wordWrap/>
        <w:overflowPunct/>
        <w:topLinePunct w:val="0"/>
        <w:bidi w:val="0"/>
        <w:adjustRightInd w:val="0"/>
        <w:spacing w:line="360" w:lineRule="exact"/>
        <w:ind w:firstLine="420" w:firstLineChars="200"/>
        <w:rPr>
          <w:rFonts w:ascii="宋体" w:hAnsi="宋体" w:cs="宋体"/>
          <w:szCs w:val="21"/>
        </w:rPr>
      </w:pPr>
      <w:r>
        <w:rPr>
          <w:rFonts w:hint="eastAsia" w:ascii="宋体" w:hAnsi="宋体" w:cs="宋体"/>
          <w:szCs w:val="21"/>
        </w:rPr>
        <w:t>本专业的教学质量管理由学校、学院两级有关机构共同监督，结合教学诊断与改进，统筹各环节的教学质量管理活动，形成任务、职责、权限明确，相互协调、相互促进的质量管理保障体系。</w:t>
      </w:r>
    </w:p>
    <w:p w14:paraId="7B4341B0">
      <w:pPr>
        <w:pageBreakBefore w:val="0"/>
        <w:kinsoku/>
        <w:wordWrap/>
        <w:overflowPunct/>
        <w:topLinePunct w:val="0"/>
        <w:bidi w:val="0"/>
        <w:adjustRightInd w:val="0"/>
        <w:spacing w:line="360" w:lineRule="exact"/>
        <w:ind w:firstLine="422" w:firstLineChars="200"/>
        <w:rPr>
          <w:rFonts w:ascii="宋体" w:hAnsi="宋体" w:cs="宋体"/>
          <w:b/>
          <w:bCs/>
          <w:szCs w:val="21"/>
        </w:rPr>
      </w:pPr>
      <w:r>
        <w:rPr>
          <w:rFonts w:hint="eastAsia" w:ascii="宋体" w:hAnsi="宋体" w:cs="宋体"/>
          <w:b/>
          <w:bCs/>
          <w:szCs w:val="21"/>
        </w:rPr>
        <w:t>2.建立健全教学质量标准体系</w:t>
      </w:r>
    </w:p>
    <w:p w14:paraId="357BC2F2">
      <w:pPr>
        <w:pageBreakBefore w:val="0"/>
        <w:kinsoku/>
        <w:wordWrap/>
        <w:overflowPunct/>
        <w:topLinePunct w:val="0"/>
        <w:bidi w:val="0"/>
        <w:adjustRightInd w:val="0"/>
        <w:spacing w:line="360" w:lineRule="exact"/>
        <w:ind w:firstLine="420" w:firstLineChars="200"/>
      </w:pPr>
      <w:r>
        <w:rPr>
          <w:rFonts w:hint="eastAsia"/>
        </w:rPr>
        <w:t>（1）教学目标方面</w:t>
      </w:r>
    </w:p>
    <w:p w14:paraId="28806B28">
      <w:pPr>
        <w:pageBreakBefore w:val="0"/>
        <w:kinsoku/>
        <w:wordWrap/>
        <w:overflowPunct/>
        <w:topLinePunct w:val="0"/>
        <w:bidi w:val="0"/>
        <w:spacing w:line="360" w:lineRule="exact"/>
        <w:ind w:firstLine="420" w:firstLineChars="200"/>
      </w:pPr>
      <w:r>
        <w:rPr>
          <w:rFonts w:hint="eastAsia" w:ascii="微软雅黑" w:hAnsi="微软雅黑" w:eastAsia="微软雅黑" w:cs="微软雅黑"/>
        </w:rPr>
        <w:t>①</w:t>
      </w:r>
      <w:r>
        <w:rPr>
          <w:rFonts w:hint="eastAsia"/>
        </w:rPr>
        <w:t>人才培养目标定位</w:t>
      </w:r>
    </w:p>
    <w:p w14:paraId="41E060D2">
      <w:pPr>
        <w:pageBreakBefore w:val="0"/>
        <w:kinsoku/>
        <w:wordWrap/>
        <w:overflowPunct/>
        <w:topLinePunct w:val="0"/>
        <w:bidi w:val="0"/>
        <w:spacing w:line="360" w:lineRule="exact"/>
        <w:ind w:firstLine="420" w:firstLineChars="200"/>
        <w:rPr>
          <w:rFonts w:ascii="宋体" w:hAnsi="宋体" w:cs="宋体"/>
        </w:rPr>
      </w:pPr>
      <w:r>
        <w:rPr>
          <w:rFonts w:hint="eastAsia" w:ascii="宋体" w:hAnsi="宋体" w:cs="宋体"/>
        </w:rPr>
        <w:t>学前教育人才培养目标是人才培养过程的航向标，是高等院校实施人才培养质量监测的基础条件。培养目标的确立，对厘清专业核心课程定位、实施与评价具有一定的理论意义，对学生明确职业生涯发展方向具有一定的实践价值。高校应联合行业专家、企事业单位、行政部门人员及其他利益相关方对毕业5年左右师范生的职业发展进行监测，对毕业生的专业人才定位、专业领域发展、职业特征、专业素养与毕业生发展预期目标等进行监测与比较，并依据评价结果反馈修订人才培养目标。</w:t>
      </w:r>
    </w:p>
    <w:p w14:paraId="25B191D0">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ascii="微软雅黑" w:hAnsi="微软雅黑" w:eastAsia="微软雅黑" w:cs="微软雅黑"/>
        </w:rPr>
        <w:t>②</w:t>
      </w:r>
      <w:r>
        <w:rPr>
          <w:rFonts w:hint="eastAsia"/>
        </w:rPr>
        <w:t>人才培养模式改革</w:t>
      </w:r>
    </w:p>
    <w:p w14:paraId="64429EEC">
      <w:pPr>
        <w:keepNext w:val="0"/>
        <w:keepLines w:val="0"/>
        <w:pageBreakBefore w:val="0"/>
        <w:widowControl w:val="0"/>
        <w:kinsoku/>
        <w:wordWrap/>
        <w:overflowPunct/>
        <w:topLinePunct w:val="0"/>
        <w:bidi w:val="0"/>
        <w:snapToGrid/>
        <w:spacing w:line="360" w:lineRule="exact"/>
        <w:ind w:firstLine="420" w:firstLineChars="200"/>
        <w:textAlignment w:val="auto"/>
        <w:rPr>
          <w:szCs w:val="21"/>
        </w:rPr>
      </w:pPr>
      <w:r>
        <w:rPr>
          <w:rFonts w:hint="eastAsia"/>
        </w:rPr>
        <w:t>为保障教学质量体系有序运行，提升人才培养质量，高校应注重顶层设计，从管理制度着手，对学科建设、人才培养方案制定、课程建设与教学改革规划、课堂教学评价制度、师资队伍建设与团队管理办法、教学工作例会制度、教学检查制度、教师任职资格审查制度、青年教师导师制、教学督导制度、听课制度、教学考核一票否决制等方面进行监测。</w:t>
      </w:r>
    </w:p>
    <w:p w14:paraId="22F013F2">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ascii="微软雅黑" w:hAnsi="微软雅黑" w:eastAsia="微软雅黑" w:cs="微软雅黑"/>
        </w:rPr>
        <w:t>③</w:t>
      </w:r>
      <w:r>
        <w:rPr>
          <w:rFonts w:hint="eastAsia"/>
        </w:rPr>
        <w:t>专业建设与发展方向</w:t>
      </w:r>
    </w:p>
    <w:p w14:paraId="7BA61F72">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rPr>
        <w:t>围绕本专业人才培养目标，针对专业人才需求状况，突出培养特色，提高办学质量，把本专业建设成为整体规模适度，师资队伍结构合理，有较高的教学科研水平，教学条件优良，教学管理规范，专业特色鲜明的人才培养基地,规范主干课程，加强精品课程建设，力争建设几门校级精品课程，加大实践课程开设比例，加强专业技能培训，建立实践课程考核标准，强化课程的导向功能。</w:t>
      </w:r>
    </w:p>
    <w:p w14:paraId="62EE5454">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rPr>
        <w:t>（2）教学过程方面</w:t>
      </w:r>
    </w:p>
    <w:p w14:paraId="31028A6F">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ascii="微软雅黑" w:hAnsi="微软雅黑" w:eastAsia="微软雅黑" w:cs="微软雅黑"/>
        </w:rPr>
        <w:t>①</w:t>
      </w:r>
      <w:r>
        <w:rPr>
          <w:rFonts w:hint="eastAsia"/>
        </w:rPr>
        <w:t>课程体系的构建与课程标准的制定</w:t>
      </w:r>
    </w:p>
    <w:p w14:paraId="6C159D68">
      <w:pPr>
        <w:keepNext w:val="0"/>
        <w:keepLines w:val="0"/>
        <w:pageBreakBefore w:val="0"/>
        <w:widowControl w:val="0"/>
        <w:kinsoku/>
        <w:wordWrap/>
        <w:overflowPunct/>
        <w:topLinePunct w:val="0"/>
        <w:bidi w:val="0"/>
        <w:snapToGrid/>
        <w:spacing w:line="360" w:lineRule="exact"/>
        <w:ind w:firstLine="420" w:firstLineChars="200"/>
        <w:textAlignment w:val="auto"/>
        <w:rPr>
          <w:szCs w:val="21"/>
        </w:rPr>
      </w:pPr>
      <w:r>
        <w:rPr>
          <w:rFonts w:hint="eastAsia"/>
        </w:rPr>
        <w:t>高职学前教育专业的课程分为公共基础必修课、公共基础选修课、专业基础课、专业核心课、专业拓展课、专业实践课六个模块,这些模块组成学生的职业素质，形成综合职业能力。而每个模块相对应培养某种能力，如公共基础必修课和选修课模块培养学生作为一个合格的公民应有的基本素质；专业基础模块培养学生具备专业理论知识和思维；专业核心模块培养学生掌握岗位职业技术和方法；专业实践模块培养学生知识岗位要求的其他素质;专业拓展模块开拓学生视野，增长学生的知识。课程标准要</w:t>
      </w:r>
      <w:r>
        <w:rPr>
          <w:rFonts w:hint="eastAsia"/>
          <w:szCs w:val="21"/>
        </w:rPr>
        <w:t>贯彻党的教育方针，面向国家、地区基础教育改革发展和教师队伍建设重大战略需求，落实国家教师教育相关政策要求，符合学校办学定位，体现专业特色，并能够为师范生、教师、教学管理人员及其他利益相关方所理解和认同，定期对培养目标的合理性进行评价，并能够根据评价结果对培养目标进行必要修订。</w:t>
      </w:r>
    </w:p>
    <w:p w14:paraId="5BF9BADD">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ascii="微软雅黑" w:hAnsi="微软雅黑" w:eastAsia="微软雅黑" w:cs="微软雅黑"/>
        </w:rPr>
        <w:t>②</w:t>
      </w:r>
      <w:r>
        <w:rPr>
          <w:rFonts w:hint="eastAsia"/>
        </w:rPr>
        <w:t>“双师型”教学团队的配备与建设</w:t>
      </w:r>
    </w:p>
    <w:p w14:paraId="59815416">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cs="宋体"/>
        </w:rPr>
      </w:pPr>
      <w:r>
        <w:rPr>
          <w:rFonts w:hint="eastAsia" w:ascii="宋体" w:hAnsi="宋体" w:cs="宋体"/>
        </w:rPr>
        <w:t>驻园学习，增强实践能力，建立教师轮流培训制度，优先将幼儿园作为校外实训基地，与学校周边优秀的幼儿园进行合作，除了成为学生专业见习和毕业实习的合作园，同时也成为教师的实践学习的基地。</w:t>
      </w:r>
    </w:p>
    <w:p w14:paraId="6E93927E">
      <w:pPr>
        <w:pStyle w:val="20"/>
        <w:keepNext w:val="0"/>
        <w:keepLines w:val="0"/>
        <w:pageBreakBefore w:val="0"/>
        <w:widowControl w:val="0"/>
        <w:kinsoku/>
        <w:wordWrap/>
        <w:overflowPunct/>
        <w:topLinePunct w:val="0"/>
        <w:bidi w:val="0"/>
        <w:snapToGrid/>
        <w:spacing w:line="360" w:lineRule="exact"/>
        <w:textAlignment w:val="auto"/>
        <w:rPr>
          <w:sz w:val="21"/>
          <w:szCs w:val="21"/>
        </w:rPr>
      </w:pPr>
      <w:r>
        <w:rPr>
          <w:rFonts w:hint="eastAsia"/>
          <w:sz w:val="21"/>
          <w:szCs w:val="21"/>
        </w:rPr>
        <w:t>科学合理的考核制度，结合自身的特点，制定科学合理的考核制度，对教师的培养也应该注重“双师型”教师，兼顾专业理论和实践指导能力。强调对学生职业综合素养和实际动手操作能力的培养，教师不断提高自身的实践能力和教学能力。</w:t>
      </w:r>
    </w:p>
    <w:p w14:paraId="50A275FD">
      <w:pPr>
        <w:pStyle w:val="20"/>
        <w:keepNext w:val="0"/>
        <w:keepLines w:val="0"/>
        <w:pageBreakBefore w:val="0"/>
        <w:widowControl w:val="0"/>
        <w:kinsoku/>
        <w:wordWrap/>
        <w:overflowPunct/>
        <w:topLinePunct w:val="0"/>
        <w:bidi w:val="0"/>
        <w:snapToGrid/>
        <w:spacing w:line="360" w:lineRule="exact"/>
        <w:textAlignment w:val="auto"/>
        <w:rPr>
          <w:sz w:val="21"/>
          <w:szCs w:val="21"/>
        </w:rPr>
      </w:pPr>
      <w:r>
        <w:rPr>
          <w:rFonts w:hint="eastAsia"/>
          <w:sz w:val="21"/>
          <w:szCs w:val="21"/>
        </w:rPr>
        <w:t>建立健全“双师型”教师激励制度，鼓励教师进行产学研学习、专业技术能力培训等措施，提高已有教师团队的技能素质；</w:t>
      </w:r>
    </w:p>
    <w:p w14:paraId="357CA7EE">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ascii="微软雅黑" w:hAnsi="微软雅黑" w:eastAsia="微软雅黑" w:cs="微软雅黑"/>
        </w:rPr>
        <w:t>③</w:t>
      </w:r>
      <w:r>
        <w:rPr>
          <w:rFonts w:hint="eastAsia"/>
        </w:rPr>
        <w:t>职业技能训练与考核</w:t>
      </w:r>
    </w:p>
    <w:p w14:paraId="34E093BF">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rPr>
        <w:t>教师口语表达技能、书写规范汉字和书面表达技能、现代教育技术应用技能、音乐教育活动技能、美术教育活动技能、幼儿游戏活动设计与指导技能、幼儿园课程设计技能、幼儿园教学活动设计与组织技能、幼儿一日生活的组织和管理技能。</w:t>
      </w:r>
    </w:p>
    <w:p w14:paraId="51FBFEDA">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ascii="宋体" w:hAnsi="宋体" w:cs="宋体"/>
        </w:rPr>
        <w:t>④</w:t>
      </w:r>
      <w:r>
        <w:rPr>
          <w:rFonts w:hint="eastAsia"/>
        </w:rPr>
        <w:t>一线教学的运行与管理</w:t>
      </w:r>
    </w:p>
    <w:p w14:paraId="4DBD63B7">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cs="宋体"/>
          <w:szCs w:val="21"/>
        </w:rPr>
      </w:pPr>
      <w:r>
        <w:rPr>
          <w:rFonts w:hint="eastAsia" w:ascii="宋体" w:hAnsi="宋体" w:cs="宋体"/>
          <w:szCs w:val="21"/>
        </w:rPr>
        <w:t>教学计划的制定和执行。在教学计划制定时，需要根据课程目标和要求，结合实际情况制定细致、合理的教学计划，并落实到具体的教学过程中。同时，还需要对教学计划的执行情况进行监控和评估，确保教学按照计划有序地进行。</w:t>
      </w:r>
    </w:p>
    <w:p w14:paraId="54E3D4A6">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cs="宋体"/>
          <w:szCs w:val="21"/>
        </w:rPr>
      </w:pPr>
      <w:r>
        <w:rPr>
          <w:rFonts w:hint="eastAsia" w:ascii="宋体" w:hAnsi="宋体" w:cs="宋体"/>
          <w:szCs w:val="21"/>
        </w:rPr>
        <w:t>教学内容的设计与实施。教学内容的设计需要符合国家课程标准和教学大纲的要求，同时还需要结合实际情况，灵活设置教学内容，使之更好地适应学生的需求和特点。实施时需要做好教学准备工作，确保教学设备和材料的完备性和有效性，同时还需要注意教学环节的互动和反馈，及时调整教学策略和方法，达到更好的教学效果。</w:t>
      </w:r>
    </w:p>
    <w:p w14:paraId="316364BA">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cs="宋体"/>
          <w:szCs w:val="21"/>
        </w:rPr>
      </w:pPr>
      <w:r>
        <w:rPr>
          <w:rFonts w:hint="eastAsia" w:ascii="宋体" w:hAnsi="宋体" w:cs="宋体"/>
          <w:szCs w:val="21"/>
        </w:rPr>
        <w:t>教学评价的实施与反馈。教学评价是教学过程监控的重要环节，需要对学生在教学过程中的表现和成绩进行全面、客观的评价。同时还需要将评价结果及时反馈给学生，并结合评价结果对教学过程进行改进和优化。</w:t>
      </w:r>
    </w:p>
    <w:p w14:paraId="358FB555">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cs="宋体"/>
          <w:szCs w:val="21"/>
        </w:rPr>
      </w:pPr>
      <w:r>
        <w:rPr>
          <w:rFonts w:hint="eastAsia" w:ascii="宋体" w:hAnsi="宋体" w:cs="宋体"/>
          <w:szCs w:val="21"/>
        </w:rPr>
        <w:t>教学团队的建设和管理。教学团队是高职一线教学的核心力量，需要建立健全的师资队伍，落实科研和教学相结合的理念，促进教学团队的协作和创新，提高教学水平和能力。</w:t>
      </w:r>
    </w:p>
    <w:p w14:paraId="0120E8F9">
      <w:pPr>
        <w:keepNext w:val="0"/>
        <w:keepLines w:val="0"/>
        <w:pageBreakBefore w:val="0"/>
        <w:widowControl w:val="0"/>
        <w:kinsoku/>
        <w:wordWrap/>
        <w:overflowPunct/>
        <w:topLinePunct w:val="0"/>
        <w:bidi w:val="0"/>
        <w:snapToGrid/>
        <w:spacing w:line="360" w:lineRule="exact"/>
        <w:ind w:firstLine="420" w:firstLineChars="200"/>
        <w:textAlignment w:val="auto"/>
      </w:pPr>
      <w:r>
        <w:rPr>
          <w:rFonts w:hint="eastAsia"/>
        </w:rPr>
        <w:t>（3）教学结果方面</w:t>
      </w:r>
    </w:p>
    <w:p w14:paraId="009B386A">
      <w:pPr>
        <w:keepNext w:val="0"/>
        <w:keepLines w:val="0"/>
        <w:pageBreakBefore w:val="0"/>
        <w:widowControl w:val="0"/>
        <w:kinsoku/>
        <w:wordWrap/>
        <w:overflowPunct/>
        <w:topLinePunct w:val="0"/>
        <w:autoSpaceDE w:val="0"/>
        <w:autoSpaceDN w:val="0"/>
        <w:bidi w:val="0"/>
        <w:snapToGrid/>
        <w:spacing w:line="360" w:lineRule="exact"/>
        <w:ind w:firstLine="396" w:firstLineChars="200"/>
        <w:jc w:val="left"/>
        <w:textAlignment w:val="auto"/>
        <w:rPr>
          <w:spacing w:val="-6"/>
        </w:rPr>
      </w:pPr>
      <w:r>
        <w:rPr>
          <w:rFonts w:hint="eastAsia"/>
          <w:spacing w:val="-6"/>
        </w:rPr>
        <w:t>掌握教育科学和学前儿童身心发展以及保育教育的基础知识、基本理论和基本技能，熟悉幼儿建构知识、获得技能、品德塑造、习惯形成的过程，熟悉幼儿年龄阶段特征和个体发展的差异性。</w:t>
      </w:r>
    </w:p>
    <w:p w14:paraId="17FC50F3">
      <w:pPr>
        <w:keepNext w:val="0"/>
        <w:keepLines w:val="0"/>
        <w:pageBreakBefore w:val="0"/>
        <w:widowControl w:val="0"/>
        <w:kinsoku/>
        <w:wordWrap/>
        <w:overflowPunct/>
        <w:topLinePunct w:val="0"/>
        <w:autoSpaceDE w:val="0"/>
        <w:autoSpaceDN w:val="0"/>
        <w:bidi w:val="0"/>
        <w:snapToGrid/>
        <w:spacing w:line="360" w:lineRule="exact"/>
        <w:ind w:firstLine="420" w:firstLineChars="200"/>
        <w:jc w:val="left"/>
        <w:textAlignment w:val="auto"/>
        <w:rPr>
          <w:rFonts w:ascii="宋体" w:hAnsi="宋体" w:cs="宋体"/>
          <w:szCs w:val="21"/>
        </w:rPr>
      </w:pPr>
      <w:r>
        <w:rPr>
          <w:rFonts w:hint="eastAsia" w:ascii="宋体" w:hAnsi="宋体" w:cs="宋体"/>
        </w:rPr>
        <w:t>熟悉幼儿园教育的目标、任务、内容、要求和基本原则，掌握幼儿园健康、语言、社会、科学、艺术等各领域教育的学科特点与基本知识。</w:t>
      </w:r>
    </w:p>
    <w:p w14:paraId="2830446A">
      <w:pPr>
        <w:pStyle w:val="22"/>
        <w:keepNext w:val="0"/>
        <w:keepLines w:val="0"/>
        <w:pageBreakBefore w:val="0"/>
        <w:widowControl w:val="0"/>
        <w:kinsoku/>
        <w:wordWrap/>
        <w:overflowPunct/>
        <w:topLinePunct w:val="0"/>
        <w:bidi w:val="0"/>
        <w:snapToGrid/>
        <w:spacing w:line="360" w:lineRule="exact"/>
        <w:ind w:firstLine="420"/>
        <w:textAlignment w:val="auto"/>
        <w:rPr>
          <w:rFonts w:ascii="宋体" w:hAnsi="宋体" w:eastAsia="宋体" w:cs="宋体"/>
        </w:rPr>
      </w:pPr>
      <w:r>
        <w:rPr>
          <w:rFonts w:hint="eastAsia" w:ascii="宋体" w:hAnsi="宋体" w:eastAsia="宋体" w:cs="宋体"/>
        </w:rPr>
        <w:t>有合格的幼儿教师语言技能、书写技能、音乐技能、美术技能、舞蹈技能，具备良好的信息素养，能够较为熟练地把现代信息技术应用于教育教学。</w:t>
      </w:r>
    </w:p>
    <w:p w14:paraId="31C20992">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cs="宋体"/>
          <w:szCs w:val="21"/>
        </w:rPr>
      </w:pPr>
      <w:r>
        <w:rPr>
          <w:rFonts w:hint="eastAsia" w:ascii="宋体" w:hAnsi="宋体" w:cs="宋体"/>
          <w:szCs w:val="21"/>
        </w:rPr>
        <w:t>以良好的团队精神和协作意识与同事共同完成幼儿教育与管理的工作任务；以严谨、求实的工作作风完成每一项幼儿教育与管理的工作任务并认真记录好数据；树立理论与实践相结合的学习理念，树立终身学习的教育思想。</w:t>
      </w:r>
    </w:p>
    <w:p w14:paraId="1CBC1BEA">
      <w:pPr>
        <w:keepNext w:val="0"/>
        <w:keepLines w:val="0"/>
        <w:pageBreakBefore w:val="0"/>
        <w:widowControl w:val="0"/>
        <w:kinsoku/>
        <w:wordWrap/>
        <w:overflowPunct/>
        <w:topLinePunct w:val="0"/>
        <w:bidi w:val="0"/>
        <w:adjustRightInd w:val="0"/>
        <w:snapToGrid/>
        <w:spacing w:line="360" w:lineRule="exact"/>
        <w:ind w:firstLine="422" w:firstLineChars="200"/>
        <w:textAlignment w:val="auto"/>
        <w:rPr>
          <w:rFonts w:ascii="宋体" w:hAnsi="宋体" w:cs="宋体"/>
          <w:b/>
          <w:bCs/>
          <w:szCs w:val="21"/>
        </w:rPr>
      </w:pPr>
      <w:r>
        <w:rPr>
          <w:rFonts w:hint="eastAsia" w:ascii="宋体" w:hAnsi="宋体" w:cs="宋体"/>
          <w:b/>
          <w:bCs/>
          <w:szCs w:val="21"/>
        </w:rPr>
        <w:t>3.完善教学管理制度</w:t>
      </w:r>
    </w:p>
    <w:p w14:paraId="1F8F928D">
      <w:pPr>
        <w:pStyle w:val="2"/>
        <w:keepNext w:val="0"/>
        <w:keepLines w:val="0"/>
        <w:pageBreakBefore w:val="0"/>
        <w:widowControl w:val="0"/>
        <w:kinsoku/>
        <w:wordWrap/>
        <w:overflowPunct/>
        <w:topLinePunct w:val="0"/>
        <w:bidi w:val="0"/>
        <w:snapToGrid/>
        <w:spacing w:after="0" w:line="360" w:lineRule="exact"/>
        <w:ind w:firstLine="420" w:firstLineChars="200"/>
        <w:textAlignment w:val="auto"/>
        <w:rPr>
          <w:rFonts w:ascii="宋体" w:hAnsi="宋体" w:cs="宋体"/>
          <w:szCs w:val="21"/>
        </w:rPr>
      </w:pPr>
      <w:r>
        <w:rPr>
          <w:rFonts w:hint="eastAsia" w:ascii="宋体" w:hAnsi="宋体" w:cs="宋体"/>
          <w:szCs w:val="21"/>
        </w:rPr>
        <w:t>学校层面负责全校教学工作的决策、计划、组织、调控和评价，对学校教学建设、教学过程、师资队伍等教学日常运行管理和教学质量进行监控。学院层面具体实施教学各环节质量监控，专业负责人、教研室主任、课程负责人对课程标准等事项研讨与决策；教研室主任、课程负责人、任课教师、实践指导教师主要负责教学计划、课程环节以及其它教学工作的具体实施。</w:t>
      </w:r>
    </w:p>
    <w:p w14:paraId="1F0A9972">
      <w:pPr>
        <w:pStyle w:val="2"/>
        <w:keepNext w:val="0"/>
        <w:keepLines w:val="0"/>
        <w:pageBreakBefore w:val="0"/>
        <w:widowControl w:val="0"/>
        <w:kinsoku/>
        <w:wordWrap/>
        <w:overflowPunct/>
        <w:topLinePunct w:val="0"/>
        <w:bidi w:val="0"/>
        <w:snapToGrid/>
        <w:spacing w:after="0" w:line="360" w:lineRule="exact"/>
        <w:ind w:firstLine="422" w:firstLineChars="200"/>
        <w:textAlignment w:val="auto"/>
        <w:rPr>
          <w:rFonts w:ascii="宋体" w:hAnsi="宋体" w:cs="宋体"/>
          <w:b/>
          <w:bCs/>
          <w:szCs w:val="21"/>
        </w:rPr>
      </w:pPr>
      <w:r>
        <w:rPr>
          <w:rFonts w:hint="eastAsia" w:ascii="宋体" w:hAnsi="宋体" w:cs="宋体"/>
          <w:b/>
          <w:bCs/>
          <w:szCs w:val="21"/>
        </w:rPr>
        <w:t>4.</w:t>
      </w:r>
      <w:r>
        <w:rPr>
          <w:rFonts w:ascii="宋体" w:hAnsi="宋体" w:cs="宋体"/>
          <w:b/>
          <w:bCs/>
          <w:szCs w:val="21"/>
        </w:rPr>
        <w:t>建立健全质量监控机制</w:t>
      </w:r>
    </w:p>
    <w:p w14:paraId="28C0E02A">
      <w:pPr>
        <w:pStyle w:val="2"/>
        <w:keepNext w:val="0"/>
        <w:keepLines w:val="0"/>
        <w:pageBreakBefore w:val="0"/>
        <w:widowControl w:val="0"/>
        <w:kinsoku/>
        <w:wordWrap/>
        <w:overflowPunct/>
        <w:topLinePunct w:val="0"/>
        <w:bidi w:val="0"/>
        <w:snapToGrid/>
        <w:spacing w:after="0" w:line="360" w:lineRule="exact"/>
        <w:ind w:firstLine="420" w:firstLineChars="200"/>
        <w:textAlignment w:val="auto"/>
        <w:rPr>
          <w:rFonts w:ascii="宋体" w:hAnsi="宋体" w:cs="宋体"/>
          <w:szCs w:val="21"/>
        </w:rPr>
      </w:pPr>
      <w:r>
        <w:rPr>
          <w:rFonts w:ascii="宋体" w:hAnsi="宋体" w:cs="宋体"/>
          <w:szCs w:val="21"/>
        </w:rPr>
        <w:t>对教学目标的合理性进行定期评价，根据评价结果对培养目标进行必要修订。</w:t>
      </w:r>
    </w:p>
    <w:p w14:paraId="1605BD7D">
      <w:pPr>
        <w:pStyle w:val="2"/>
        <w:keepNext w:val="0"/>
        <w:keepLines w:val="0"/>
        <w:pageBreakBefore w:val="0"/>
        <w:widowControl w:val="0"/>
        <w:kinsoku/>
        <w:wordWrap/>
        <w:overflowPunct/>
        <w:topLinePunct w:val="0"/>
        <w:bidi w:val="0"/>
        <w:snapToGrid/>
        <w:spacing w:after="0" w:line="360" w:lineRule="exact"/>
        <w:ind w:firstLine="420" w:firstLineChars="200"/>
        <w:textAlignment w:val="auto"/>
        <w:rPr>
          <w:rFonts w:ascii="宋体" w:hAnsi="宋体" w:cs="宋体"/>
          <w:szCs w:val="21"/>
        </w:rPr>
      </w:pPr>
      <w:r>
        <w:rPr>
          <w:rFonts w:ascii="宋体" w:hAnsi="宋体" w:cs="宋体"/>
          <w:szCs w:val="21"/>
        </w:rPr>
        <w:t>对教学过程中的课程体系构建、“双师型”教学团队建设、职业技能训练与考核、一线教学运行与管理等各个环节进行监控，确保教学工作按照计划有序进行，教学内容符合要求，教学方法和手段能够有效提高教学质量。</w:t>
      </w:r>
    </w:p>
    <w:p w14:paraId="607C9109">
      <w:pPr>
        <w:pStyle w:val="2"/>
        <w:pageBreakBefore w:val="0"/>
        <w:kinsoku/>
        <w:wordWrap/>
        <w:overflowPunct/>
        <w:topLinePunct w:val="0"/>
        <w:bidi w:val="0"/>
        <w:spacing w:after="0" w:line="360" w:lineRule="exact"/>
        <w:ind w:firstLine="420" w:firstLineChars="200"/>
      </w:pPr>
      <w:r>
        <w:rPr>
          <w:rFonts w:ascii="宋体" w:hAnsi="宋体" w:cs="宋体"/>
          <w:szCs w:val="21"/>
        </w:rPr>
        <w:t>对教学结果进行评估，检查学生是否达到毕业要求，是否具备相应的素质、知识和能力。</w:t>
      </w:r>
    </w:p>
    <w:p w14:paraId="7E0C331C">
      <w:pPr>
        <w:pageBreakBefore w:val="0"/>
        <w:kinsoku/>
        <w:wordWrap/>
        <w:overflowPunct/>
        <w:topLinePunct w:val="0"/>
        <w:bidi w:val="0"/>
        <w:spacing w:line="360" w:lineRule="exact"/>
        <w:ind w:firstLine="422" w:firstLineChars="200"/>
        <w:rPr>
          <w:rFonts w:ascii="宋体" w:hAnsi="宋体" w:cs="宋体"/>
          <w:b/>
          <w:bCs/>
          <w:szCs w:val="21"/>
        </w:rPr>
      </w:pPr>
      <w:r>
        <w:rPr>
          <w:rFonts w:hint="eastAsia" w:ascii="宋体" w:hAnsi="宋体" w:cs="宋体"/>
          <w:b/>
          <w:bCs/>
          <w:szCs w:val="21"/>
        </w:rPr>
        <w:t>5.建立反馈机制及社会评价机制</w:t>
      </w:r>
    </w:p>
    <w:p w14:paraId="309FC41E">
      <w:pPr>
        <w:pageBreakBefore w:val="0"/>
        <w:kinsoku/>
        <w:wordWrap/>
        <w:overflowPunct/>
        <w:topLinePunct w:val="0"/>
        <w:bidi w:val="0"/>
        <w:spacing w:line="360" w:lineRule="exact"/>
        <w:ind w:firstLine="420" w:firstLineChars="200"/>
        <w:rPr>
          <w:rFonts w:ascii="宋体" w:hAnsi="宋体" w:cs="宋体"/>
          <w:szCs w:val="21"/>
        </w:rPr>
      </w:pPr>
      <w:r>
        <w:rPr>
          <w:rFonts w:hint="eastAsia" w:ascii="宋体" w:hAnsi="宋体" w:cs="宋体"/>
          <w:szCs w:val="21"/>
        </w:rPr>
        <w:t>在反馈评价机制建立过程中，我校会从多方面获取反馈信息作为重要的建立依据和凭证。</w:t>
      </w:r>
    </w:p>
    <w:p w14:paraId="3DF5E3BA">
      <w:pPr>
        <w:pageBreakBefore w:val="0"/>
        <w:kinsoku/>
        <w:wordWrap/>
        <w:overflowPunct/>
        <w:topLinePunct w:val="0"/>
        <w:bidi w:val="0"/>
        <w:spacing w:line="360" w:lineRule="exact"/>
        <w:ind w:firstLine="420" w:firstLineChars="200"/>
      </w:pPr>
      <w:r>
        <w:rPr>
          <w:rFonts w:hint="eastAsia" w:ascii="宋体" w:hAnsi="宋体" w:cs="宋体"/>
          <w:szCs w:val="21"/>
        </w:rPr>
        <w:t>在思想方面，</w:t>
      </w:r>
      <w:r>
        <w:rPr>
          <w:rFonts w:hint="eastAsia"/>
        </w:rPr>
        <w:t>坚持育人为本。用新时代党的创新理论铸魂育人，广泛践行社会主义核心价值观，遵循学生成长规律和教育规律，大力发展高质量教育。坚持政府统筹，充分发挥政府统筹协调作用，加强系统谋划，推动部门联动，强化条件保障，促进资源共享和协同育人有效实施。坚持协同共育，明确学校家庭社会协同育人责任，完善工作机制，促进各展优势、密切配合、相互支持，切实增强育人合力，共同担负起学生成长成才的重要责任。坚持问题导向，强化专业指导，鼓励实践探索，着力解决制度建设、指导服务、条件保障等方面存在的突出问题，不断增强协同育人的科学性针对性实效性。</w:t>
      </w:r>
    </w:p>
    <w:p w14:paraId="0243F4E2">
      <w:pPr>
        <w:pageBreakBefore w:val="0"/>
        <w:kinsoku/>
        <w:wordWrap/>
        <w:overflowPunct/>
        <w:topLinePunct w:val="0"/>
        <w:bidi w:val="0"/>
        <w:spacing w:line="360" w:lineRule="exact"/>
        <w:ind w:firstLine="420" w:firstLineChars="200"/>
        <w:rPr>
          <w:rFonts w:ascii="宋体" w:hAnsi="宋体" w:cs="宋体"/>
          <w:szCs w:val="21"/>
        </w:rPr>
      </w:pPr>
      <w:r>
        <w:rPr>
          <w:rFonts w:hint="eastAsia"/>
        </w:rPr>
        <w:t>在工作方面，一方面从师生参与的相关竞赛来获取</w:t>
      </w:r>
      <w:r>
        <w:rPr>
          <w:rFonts w:hint="eastAsia" w:ascii="宋体" w:hAnsi="宋体" w:cs="宋体"/>
          <w:szCs w:val="21"/>
        </w:rPr>
        <w:t>社会评价及反馈，例如</w:t>
      </w:r>
      <w:r>
        <w:rPr>
          <w:rFonts w:hint="eastAsia"/>
        </w:rPr>
        <w:t>职业技能竞赛，我校职业技能竞赛获奖率为20%。另</w:t>
      </w:r>
      <w:r>
        <w:rPr>
          <w:rFonts w:hint="eastAsia" w:ascii="宋体" w:hAnsi="宋体" w:cs="宋体"/>
          <w:szCs w:val="21"/>
        </w:rPr>
        <w:t>一方面从毕业生方面获取社会评价及反馈。例如学生毕业率、毕业生就业率等方面，截止2024年9月1日，许昌陶瓷职业学院2024届毕业生签就业协议形式就业率为90.8%，签劳动合同形式就2.3%，应征义务兵0.39%，待就业4.21%，自主创业0.26%，升学2.04%。</w:t>
      </w:r>
    </w:p>
    <w:p w14:paraId="5D8FD80F">
      <w:pPr>
        <w:pageBreakBefore w:val="0"/>
        <w:kinsoku/>
        <w:wordWrap/>
        <w:overflowPunct/>
        <w:topLinePunct w:val="0"/>
        <w:bidi w:val="0"/>
        <w:spacing w:line="360" w:lineRule="exact"/>
        <w:ind w:firstLine="420" w:firstLineChars="200"/>
        <w:rPr>
          <w:rFonts w:ascii="宋体" w:hAnsi="宋体" w:cs="宋体"/>
          <w:szCs w:val="21"/>
        </w:rPr>
      </w:pPr>
      <w:r>
        <w:rPr>
          <w:rFonts w:hint="eastAsia"/>
        </w:rPr>
        <w:t>总之，坚持以习近平新时代中国特色社会主义思想为指导，认真贯彻落实习近平总书记关于教育建设的重要论述，全面贯彻党的教育方针，落实立德树人根本任务，弘扬中华优秀传统文化，坚持科学教育观念，增强协同育人共识，积极构建社会协同育人新格局，建立健全学校反馈机制和社会反馈机制，着力培养德智体美劳全面发展的社会主义建设者和接班人。</w:t>
      </w:r>
    </w:p>
    <w:p w14:paraId="2B86EAED">
      <w:pPr>
        <w:pageBreakBefore w:val="0"/>
        <w:kinsoku/>
        <w:wordWrap/>
        <w:overflowPunct/>
        <w:topLinePunct w:val="0"/>
        <w:bidi w:val="0"/>
        <w:adjustRightInd w:val="0"/>
        <w:snapToGrid w:val="0"/>
        <w:spacing w:line="360" w:lineRule="exact"/>
        <w:ind w:firstLine="422" w:firstLineChars="200"/>
        <w:rPr>
          <w:rFonts w:hint="default"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七</w:t>
      </w:r>
      <w:r>
        <w:rPr>
          <w:rFonts w:hint="eastAsia" w:ascii="宋体" w:hAnsi="宋体" w:cs="宋体"/>
          <w:b/>
          <w:bCs/>
          <w:szCs w:val="21"/>
          <w:lang w:eastAsia="zh-CN"/>
        </w:rPr>
        <w:t>）</w:t>
      </w:r>
      <w:r>
        <w:rPr>
          <w:rFonts w:hint="eastAsia" w:ascii="宋体" w:hAnsi="宋体" w:cs="宋体"/>
          <w:b/>
          <w:bCs/>
          <w:szCs w:val="21"/>
        </w:rPr>
        <w:t>毕业要求</w:t>
      </w:r>
    </w:p>
    <w:p w14:paraId="050D3AC4">
      <w:pPr>
        <w:pageBreakBefore w:val="0"/>
        <w:kinsoku/>
        <w:wordWrap/>
        <w:overflowPunct/>
        <w:topLinePunct w:val="0"/>
        <w:bidi w:val="0"/>
        <w:spacing w:line="360" w:lineRule="exact"/>
        <w:ind w:firstLine="420" w:firstLineChars="200"/>
        <w:rPr>
          <w:rFonts w:ascii="宋体" w:hAnsi="宋体" w:cs="宋体"/>
          <w:szCs w:val="21"/>
        </w:rPr>
      </w:pPr>
      <w:bookmarkStart w:id="60" w:name="_Toc27960"/>
      <w:bookmarkStart w:id="61" w:name="_Toc22818"/>
      <w:bookmarkStart w:id="62" w:name="_Toc7526"/>
      <w:r>
        <w:rPr>
          <w:rFonts w:hint="eastAsia" w:ascii="宋体" w:hAnsi="宋体" w:cs="宋体"/>
          <w:szCs w:val="21"/>
        </w:rPr>
        <w:t>毕业要求是学生通过规定年限的学习，须修满的专业人才培养方案所规定的学时学分，完成规定的教学活动，毕业时应达到的素质、知识和能力等方面要求。毕业要求应能支撑培养目标的有效达成。</w:t>
      </w:r>
    </w:p>
    <w:p w14:paraId="5A92D77F">
      <w:pPr>
        <w:pageBreakBefore w:val="0"/>
        <w:kinsoku/>
        <w:wordWrap/>
        <w:overflowPunct/>
        <w:topLinePunct w:val="0"/>
        <w:bidi w:val="0"/>
        <w:spacing w:line="360" w:lineRule="exact"/>
        <w:ind w:firstLine="422" w:firstLineChars="200"/>
        <w:rPr>
          <w:rFonts w:hint="eastAsia" w:ascii="宋体" w:hAnsi="宋体" w:cs="宋体"/>
          <w:b/>
          <w:bCs/>
          <w:szCs w:val="21"/>
          <w:lang w:val="zh-CN"/>
        </w:rPr>
      </w:pPr>
      <w:bookmarkStart w:id="63" w:name="_Toc16516681"/>
      <w:r>
        <w:rPr>
          <w:rFonts w:hint="eastAsia" w:ascii="宋体" w:hAnsi="宋体" w:cs="宋体"/>
          <w:b/>
          <w:bCs/>
          <w:szCs w:val="21"/>
          <w:lang w:val="en-US" w:eastAsia="zh-CN"/>
        </w:rPr>
        <w:t>1.</w:t>
      </w:r>
      <w:r>
        <w:rPr>
          <w:rFonts w:hint="eastAsia" w:ascii="宋体" w:hAnsi="宋体" w:cs="宋体"/>
          <w:b/>
          <w:bCs/>
          <w:szCs w:val="21"/>
          <w:lang w:val="zh-CN"/>
        </w:rPr>
        <w:t>毕业学分要求</w:t>
      </w:r>
      <w:bookmarkEnd w:id="63"/>
    </w:p>
    <w:p w14:paraId="4DB71170">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本专业修够14</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学分方能毕业。其中：</w:t>
      </w:r>
    </w:p>
    <w:p w14:paraId="248F14AF">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◆公共必修课共</w:t>
      </w:r>
      <w:r>
        <w:rPr>
          <w:rFonts w:hint="eastAsia" w:ascii="宋体" w:hAnsi="宋体" w:cs="宋体"/>
          <w:color w:val="auto"/>
          <w:sz w:val="21"/>
          <w:szCs w:val="21"/>
          <w:lang w:val="en-US" w:eastAsia="zh-CN"/>
        </w:rPr>
        <w:t>42</w:t>
      </w:r>
      <w:r>
        <w:rPr>
          <w:rFonts w:hint="eastAsia" w:ascii="宋体" w:hAnsi="宋体" w:eastAsia="宋体" w:cs="宋体"/>
          <w:color w:val="auto"/>
          <w:sz w:val="21"/>
          <w:szCs w:val="21"/>
        </w:rPr>
        <w:t>学分。</w:t>
      </w:r>
    </w:p>
    <w:p w14:paraId="0E6E3EF6">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◆专业技能课、专业</w:t>
      </w:r>
      <w:r>
        <w:rPr>
          <w:rFonts w:hint="eastAsia" w:ascii="宋体" w:hAnsi="宋体" w:eastAsia="宋体" w:cs="宋体"/>
          <w:color w:val="auto"/>
          <w:sz w:val="21"/>
          <w:szCs w:val="21"/>
          <w:lang w:val="en-US" w:eastAsia="zh-CN"/>
        </w:rPr>
        <w:t>拓展</w:t>
      </w:r>
      <w:r>
        <w:rPr>
          <w:rFonts w:hint="eastAsia" w:ascii="宋体" w:hAnsi="宋体" w:eastAsia="宋体" w:cs="宋体"/>
          <w:color w:val="auto"/>
          <w:sz w:val="21"/>
          <w:szCs w:val="21"/>
        </w:rPr>
        <w:t>课、专业</w:t>
      </w:r>
      <w:r>
        <w:rPr>
          <w:rFonts w:hint="eastAsia" w:ascii="宋体" w:hAnsi="宋体" w:eastAsia="宋体" w:cs="宋体"/>
          <w:color w:val="auto"/>
          <w:sz w:val="21"/>
          <w:szCs w:val="21"/>
          <w:lang w:val="en-US" w:eastAsia="zh-CN"/>
        </w:rPr>
        <w:t>实践</w:t>
      </w:r>
      <w:r>
        <w:rPr>
          <w:rFonts w:hint="eastAsia" w:ascii="宋体" w:hAnsi="宋体" w:eastAsia="宋体" w:cs="宋体"/>
          <w:color w:val="auto"/>
          <w:sz w:val="21"/>
          <w:szCs w:val="21"/>
        </w:rPr>
        <w:t>课共</w:t>
      </w:r>
      <w:r>
        <w:rPr>
          <w:rFonts w:hint="eastAsia" w:ascii="宋体" w:hAnsi="宋体" w:cs="宋体"/>
          <w:color w:val="auto"/>
          <w:sz w:val="21"/>
          <w:szCs w:val="21"/>
          <w:lang w:val="en-US" w:eastAsia="zh-CN"/>
        </w:rPr>
        <w:t>94</w:t>
      </w:r>
      <w:r>
        <w:rPr>
          <w:rFonts w:hint="eastAsia" w:ascii="宋体" w:hAnsi="宋体" w:eastAsia="宋体" w:cs="宋体"/>
          <w:color w:val="auto"/>
          <w:sz w:val="21"/>
          <w:szCs w:val="21"/>
        </w:rPr>
        <w:t>学分。</w:t>
      </w:r>
    </w:p>
    <w:p w14:paraId="112945C9">
      <w:pPr>
        <w:adjustRightInd w:val="0"/>
        <w:snapToGrid w:val="0"/>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◆公共选修课</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学分。</w:t>
      </w:r>
    </w:p>
    <w:p w14:paraId="651C3D97">
      <w:pPr>
        <w:pageBreakBefore w:val="0"/>
        <w:kinsoku/>
        <w:wordWrap/>
        <w:overflowPunct/>
        <w:topLinePunct w:val="0"/>
        <w:bidi w:val="0"/>
        <w:adjustRightInd w:val="0"/>
        <w:spacing w:line="360" w:lineRule="exact"/>
        <w:ind w:firstLine="420" w:firstLineChars="200"/>
        <w:rPr>
          <w:rFonts w:ascii="宋体" w:hAnsi="宋体" w:cs="宋体"/>
        </w:rPr>
      </w:pP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鼓励学生参加各类职业技能竞赛、专项竞赛、创新设计、科技活动、艺术实</w:t>
      </w:r>
      <w:r>
        <w:rPr>
          <w:rFonts w:hint="eastAsia" w:ascii="宋体" w:hAnsi="宋体" w:eastAsia="宋体" w:cs="宋体"/>
          <w:sz w:val="21"/>
          <w:szCs w:val="21"/>
        </w:rPr>
        <w:t>践、社团活动、志愿服务等，提高学生的综合能力和职业素养，取得的成果学分转换情况详见</w:t>
      </w:r>
      <w:r>
        <w:rPr>
          <w:rFonts w:hint="eastAsia" w:ascii="宋体" w:hAnsi="宋体" w:eastAsia="宋体" w:cs="宋体"/>
          <w:sz w:val="21"/>
          <w:szCs w:val="21"/>
          <w:lang w:val="en-US" w:eastAsia="zh-CN"/>
        </w:rPr>
        <w:t>下</w:t>
      </w:r>
      <w:r>
        <w:rPr>
          <w:rFonts w:hint="eastAsia" w:ascii="宋体" w:hAnsi="宋体" w:eastAsia="宋体" w:cs="宋体"/>
          <w:sz w:val="21"/>
          <w:szCs w:val="21"/>
        </w:rPr>
        <w:t>表所示</w:t>
      </w:r>
      <w:r>
        <w:rPr>
          <w:rFonts w:hint="eastAsia" w:ascii="宋体" w:hAnsi="宋体" w:cs="宋体"/>
        </w:rPr>
        <w:t>。</w:t>
      </w:r>
    </w:p>
    <w:p w14:paraId="18591A18">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学前教育专业学分转换情况表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06EB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2B58853F">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序号</w:t>
            </w:r>
          </w:p>
        </w:tc>
        <w:tc>
          <w:tcPr>
            <w:tcW w:w="1860" w:type="dxa"/>
            <w:vAlign w:val="center"/>
          </w:tcPr>
          <w:p w14:paraId="33D47014">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项目</w:t>
            </w:r>
          </w:p>
        </w:tc>
        <w:tc>
          <w:tcPr>
            <w:tcW w:w="2675" w:type="dxa"/>
            <w:gridSpan w:val="2"/>
            <w:vAlign w:val="center"/>
          </w:tcPr>
          <w:p w14:paraId="2BBA2C74">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要求</w:t>
            </w:r>
          </w:p>
        </w:tc>
        <w:tc>
          <w:tcPr>
            <w:tcW w:w="962" w:type="dxa"/>
            <w:vAlign w:val="center"/>
          </w:tcPr>
          <w:p w14:paraId="3385B719">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学分</w:t>
            </w:r>
          </w:p>
        </w:tc>
        <w:tc>
          <w:tcPr>
            <w:tcW w:w="2921" w:type="dxa"/>
            <w:vAlign w:val="center"/>
          </w:tcPr>
          <w:p w14:paraId="4C97ACF8">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Cs w:val="21"/>
              </w:rPr>
              <w:t>替换的课程或课程类型</w:t>
            </w:r>
          </w:p>
        </w:tc>
      </w:tr>
      <w:tr w14:paraId="0600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66AF46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1860" w:type="dxa"/>
            <w:vAlign w:val="center"/>
          </w:tcPr>
          <w:p w14:paraId="1F73272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高级保育师证书</w:t>
            </w:r>
          </w:p>
        </w:tc>
        <w:tc>
          <w:tcPr>
            <w:tcW w:w="2675" w:type="dxa"/>
            <w:gridSpan w:val="2"/>
            <w:vAlign w:val="center"/>
          </w:tcPr>
          <w:p w14:paraId="35C05B1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通过考试并获得证书</w:t>
            </w:r>
          </w:p>
        </w:tc>
        <w:tc>
          <w:tcPr>
            <w:tcW w:w="962" w:type="dxa"/>
            <w:vAlign w:val="center"/>
          </w:tcPr>
          <w:p w14:paraId="4AFC99C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Align w:val="center"/>
          </w:tcPr>
          <w:p w14:paraId="2876D19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学前儿童卫生与保健</w:t>
            </w:r>
          </w:p>
        </w:tc>
      </w:tr>
      <w:tr w14:paraId="6CF2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2D4936C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1860" w:type="dxa"/>
            <w:vMerge w:val="restart"/>
            <w:vAlign w:val="center"/>
          </w:tcPr>
          <w:p w14:paraId="0461236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职业技能竞赛/</w:t>
            </w:r>
          </w:p>
          <w:p w14:paraId="2CC64F3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学科竞赛</w:t>
            </w:r>
          </w:p>
        </w:tc>
        <w:tc>
          <w:tcPr>
            <w:tcW w:w="1445" w:type="dxa"/>
            <w:vMerge w:val="restart"/>
            <w:vAlign w:val="center"/>
          </w:tcPr>
          <w:p w14:paraId="28B1017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国家级</w:t>
            </w:r>
          </w:p>
        </w:tc>
        <w:tc>
          <w:tcPr>
            <w:tcW w:w="1230" w:type="dxa"/>
            <w:vAlign w:val="center"/>
          </w:tcPr>
          <w:p w14:paraId="294CCC2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6820924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12</w:t>
            </w:r>
          </w:p>
        </w:tc>
        <w:tc>
          <w:tcPr>
            <w:tcW w:w="2921" w:type="dxa"/>
            <w:vMerge w:val="restart"/>
            <w:vAlign w:val="center"/>
          </w:tcPr>
          <w:p w14:paraId="6D28254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专业基础/专业核心课</w:t>
            </w:r>
          </w:p>
          <w:p w14:paraId="38C824D1">
            <w:pPr>
              <w:pageBreakBefore w:val="0"/>
              <w:kinsoku/>
              <w:wordWrap/>
              <w:overflowPunct/>
              <w:topLinePunct w:val="0"/>
              <w:bidi w:val="0"/>
              <w:spacing w:line="360" w:lineRule="exact"/>
              <w:jc w:val="center"/>
              <w:rPr>
                <w:rFonts w:ascii="宋体" w:hAnsi="宋体" w:cs="宋体"/>
                <w:sz w:val="18"/>
                <w:szCs w:val="18"/>
              </w:rPr>
            </w:pPr>
          </w:p>
        </w:tc>
      </w:tr>
      <w:tr w14:paraId="31DC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5902FFF">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5C58F1D1">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666F219F">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15B8137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3788696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249F435F">
            <w:pPr>
              <w:pageBreakBefore w:val="0"/>
              <w:kinsoku/>
              <w:wordWrap/>
              <w:overflowPunct/>
              <w:topLinePunct w:val="0"/>
              <w:bidi w:val="0"/>
              <w:spacing w:line="360" w:lineRule="exact"/>
              <w:jc w:val="center"/>
              <w:rPr>
                <w:rFonts w:ascii="宋体" w:hAnsi="宋体" w:cs="宋体"/>
                <w:sz w:val="18"/>
                <w:szCs w:val="18"/>
              </w:rPr>
            </w:pPr>
          </w:p>
        </w:tc>
      </w:tr>
      <w:tr w14:paraId="78D2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F1B51AC">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6B0DEE27">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3A153C9A">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3D51EDD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三等奖</w:t>
            </w:r>
          </w:p>
        </w:tc>
        <w:tc>
          <w:tcPr>
            <w:tcW w:w="962" w:type="dxa"/>
            <w:vAlign w:val="center"/>
          </w:tcPr>
          <w:p w14:paraId="4F63C97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38553E4B">
            <w:pPr>
              <w:pageBreakBefore w:val="0"/>
              <w:kinsoku/>
              <w:wordWrap/>
              <w:overflowPunct/>
              <w:topLinePunct w:val="0"/>
              <w:bidi w:val="0"/>
              <w:spacing w:line="360" w:lineRule="exact"/>
              <w:jc w:val="center"/>
              <w:rPr>
                <w:rFonts w:ascii="宋体" w:hAnsi="宋体" w:cs="宋体"/>
                <w:sz w:val="18"/>
                <w:szCs w:val="18"/>
              </w:rPr>
            </w:pPr>
          </w:p>
        </w:tc>
      </w:tr>
      <w:tr w14:paraId="6830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40F3BB6D">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150908AE">
            <w:pPr>
              <w:pageBreakBefore w:val="0"/>
              <w:kinsoku/>
              <w:wordWrap/>
              <w:overflowPunct/>
              <w:topLinePunct w:val="0"/>
              <w:bidi w:val="0"/>
              <w:spacing w:line="360" w:lineRule="exact"/>
              <w:jc w:val="center"/>
              <w:rPr>
                <w:rFonts w:ascii="宋体" w:hAnsi="宋体" w:cs="宋体"/>
                <w:sz w:val="18"/>
                <w:szCs w:val="18"/>
              </w:rPr>
            </w:pPr>
          </w:p>
        </w:tc>
        <w:tc>
          <w:tcPr>
            <w:tcW w:w="1445" w:type="dxa"/>
            <w:vMerge w:val="restart"/>
            <w:vAlign w:val="center"/>
          </w:tcPr>
          <w:p w14:paraId="5E209A4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省级</w:t>
            </w:r>
          </w:p>
        </w:tc>
        <w:tc>
          <w:tcPr>
            <w:tcW w:w="1230" w:type="dxa"/>
            <w:vAlign w:val="center"/>
          </w:tcPr>
          <w:p w14:paraId="2A2C9F2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32E3AC0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416A0349">
            <w:pPr>
              <w:pageBreakBefore w:val="0"/>
              <w:kinsoku/>
              <w:wordWrap/>
              <w:overflowPunct/>
              <w:topLinePunct w:val="0"/>
              <w:bidi w:val="0"/>
              <w:spacing w:line="360" w:lineRule="exact"/>
              <w:jc w:val="center"/>
              <w:rPr>
                <w:rFonts w:ascii="宋体" w:hAnsi="宋体" w:cs="宋体"/>
                <w:sz w:val="18"/>
                <w:szCs w:val="18"/>
              </w:rPr>
            </w:pPr>
          </w:p>
        </w:tc>
      </w:tr>
      <w:tr w14:paraId="7BBF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16FD583">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02AFE170">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793D3EB4">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7625179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24C59FF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08C301F5">
            <w:pPr>
              <w:pageBreakBefore w:val="0"/>
              <w:kinsoku/>
              <w:wordWrap/>
              <w:overflowPunct/>
              <w:topLinePunct w:val="0"/>
              <w:bidi w:val="0"/>
              <w:spacing w:line="360" w:lineRule="exact"/>
              <w:jc w:val="center"/>
              <w:rPr>
                <w:rFonts w:ascii="宋体" w:hAnsi="宋体" w:cs="宋体"/>
                <w:sz w:val="18"/>
                <w:szCs w:val="18"/>
              </w:rPr>
            </w:pPr>
          </w:p>
        </w:tc>
      </w:tr>
      <w:tr w14:paraId="385F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E7C0E66">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12DA3F50">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5B7B7844">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179F43C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三等奖</w:t>
            </w:r>
          </w:p>
        </w:tc>
        <w:tc>
          <w:tcPr>
            <w:tcW w:w="962" w:type="dxa"/>
            <w:vAlign w:val="center"/>
          </w:tcPr>
          <w:p w14:paraId="7214BC2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continue"/>
            <w:vAlign w:val="center"/>
          </w:tcPr>
          <w:p w14:paraId="3FF13BA3">
            <w:pPr>
              <w:pageBreakBefore w:val="0"/>
              <w:kinsoku/>
              <w:wordWrap/>
              <w:overflowPunct/>
              <w:topLinePunct w:val="0"/>
              <w:bidi w:val="0"/>
              <w:spacing w:line="360" w:lineRule="exact"/>
              <w:jc w:val="center"/>
              <w:rPr>
                <w:rFonts w:ascii="宋体" w:hAnsi="宋体" w:cs="宋体"/>
                <w:sz w:val="18"/>
                <w:szCs w:val="18"/>
              </w:rPr>
            </w:pPr>
          </w:p>
        </w:tc>
      </w:tr>
      <w:tr w14:paraId="621D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E2E6D9C">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32C9AD43">
            <w:pPr>
              <w:pageBreakBefore w:val="0"/>
              <w:kinsoku/>
              <w:wordWrap/>
              <w:overflowPunct/>
              <w:topLinePunct w:val="0"/>
              <w:bidi w:val="0"/>
              <w:spacing w:line="360" w:lineRule="exact"/>
              <w:jc w:val="center"/>
              <w:rPr>
                <w:rFonts w:ascii="宋体" w:hAnsi="宋体" w:cs="宋体"/>
                <w:sz w:val="18"/>
                <w:szCs w:val="18"/>
              </w:rPr>
            </w:pPr>
          </w:p>
        </w:tc>
        <w:tc>
          <w:tcPr>
            <w:tcW w:w="1445" w:type="dxa"/>
            <w:vMerge w:val="restart"/>
            <w:vAlign w:val="center"/>
          </w:tcPr>
          <w:p w14:paraId="20CE734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地市或院级</w:t>
            </w:r>
          </w:p>
        </w:tc>
        <w:tc>
          <w:tcPr>
            <w:tcW w:w="1230" w:type="dxa"/>
            <w:vAlign w:val="center"/>
          </w:tcPr>
          <w:p w14:paraId="43F38D4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4DC4B9A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2921" w:type="dxa"/>
            <w:vMerge w:val="restart"/>
            <w:vAlign w:val="center"/>
          </w:tcPr>
          <w:p w14:paraId="6876D66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3150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496532B">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4F977528">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64ECF5B0">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264487C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254AA41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2921" w:type="dxa"/>
            <w:vMerge w:val="continue"/>
            <w:vAlign w:val="center"/>
          </w:tcPr>
          <w:p w14:paraId="779585F6">
            <w:pPr>
              <w:pageBreakBefore w:val="0"/>
              <w:kinsoku/>
              <w:wordWrap/>
              <w:overflowPunct/>
              <w:topLinePunct w:val="0"/>
              <w:bidi w:val="0"/>
              <w:spacing w:line="360" w:lineRule="exact"/>
              <w:jc w:val="center"/>
              <w:rPr>
                <w:rFonts w:ascii="宋体" w:hAnsi="宋体" w:cs="宋体"/>
                <w:sz w:val="18"/>
                <w:szCs w:val="18"/>
              </w:rPr>
            </w:pPr>
          </w:p>
        </w:tc>
      </w:tr>
      <w:tr w14:paraId="6684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1E7BF04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w:t>
            </w:r>
          </w:p>
        </w:tc>
        <w:tc>
          <w:tcPr>
            <w:tcW w:w="1860" w:type="dxa"/>
            <w:vMerge w:val="restart"/>
            <w:vAlign w:val="center"/>
          </w:tcPr>
          <w:p w14:paraId="0613031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公开发表作品</w:t>
            </w:r>
          </w:p>
        </w:tc>
        <w:tc>
          <w:tcPr>
            <w:tcW w:w="1445" w:type="dxa"/>
            <w:vAlign w:val="center"/>
          </w:tcPr>
          <w:p w14:paraId="117D337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期刊</w:t>
            </w:r>
          </w:p>
        </w:tc>
        <w:tc>
          <w:tcPr>
            <w:tcW w:w="1230" w:type="dxa"/>
            <w:vAlign w:val="center"/>
          </w:tcPr>
          <w:p w14:paraId="343FDC9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restart"/>
            <w:vAlign w:val="center"/>
          </w:tcPr>
          <w:p w14:paraId="4BF50CB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28AC7E7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专业基础/专业拓展课</w:t>
            </w:r>
          </w:p>
        </w:tc>
      </w:tr>
      <w:tr w14:paraId="669A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21DE46DB">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0637A937">
            <w:pPr>
              <w:pageBreakBefore w:val="0"/>
              <w:kinsoku/>
              <w:wordWrap/>
              <w:overflowPunct/>
              <w:topLinePunct w:val="0"/>
              <w:bidi w:val="0"/>
              <w:spacing w:line="360" w:lineRule="exact"/>
              <w:jc w:val="center"/>
              <w:rPr>
                <w:rFonts w:ascii="宋体" w:hAnsi="宋体" w:cs="宋体"/>
                <w:sz w:val="18"/>
                <w:szCs w:val="18"/>
              </w:rPr>
            </w:pPr>
          </w:p>
        </w:tc>
        <w:tc>
          <w:tcPr>
            <w:tcW w:w="1445" w:type="dxa"/>
            <w:vAlign w:val="center"/>
          </w:tcPr>
          <w:p w14:paraId="06565F4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学报</w:t>
            </w:r>
          </w:p>
        </w:tc>
        <w:tc>
          <w:tcPr>
            <w:tcW w:w="1230" w:type="dxa"/>
            <w:vAlign w:val="center"/>
          </w:tcPr>
          <w:p w14:paraId="5F4715D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3F935157">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6BA546EB">
            <w:pPr>
              <w:pageBreakBefore w:val="0"/>
              <w:kinsoku/>
              <w:wordWrap/>
              <w:overflowPunct/>
              <w:topLinePunct w:val="0"/>
              <w:bidi w:val="0"/>
              <w:spacing w:line="360" w:lineRule="exact"/>
              <w:jc w:val="center"/>
              <w:rPr>
                <w:rFonts w:ascii="宋体" w:hAnsi="宋体" w:cs="宋体"/>
                <w:sz w:val="18"/>
                <w:szCs w:val="18"/>
              </w:rPr>
            </w:pPr>
          </w:p>
        </w:tc>
      </w:tr>
      <w:tr w14:paraId="41E4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3224F7AD">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05537300">
            <w:pPr>
              <w:pageBreakBefore w:val="0"/>
              <w:kinsoku/>
              <w:wordWrap/>
              <w:overflowPunct/>
              <w:topLinePunct w:val="0"/>
              <w:bidi w:val="0"/>
              <w:spacing w:line="360" w:lineRule="exact"/>
              <w:jc w:val="center"/>
              <w:rPr>
                <w:rFonts w:ascii="宋体" w:hAnsi="宋体" w:cs="宋体"/>
                <w:sz w:val="18"/>
                <w:szCs w:val="18"/>
              </w:rPr>
            </w:pPr>
          </w:p>
        </w:tc>
        <w:tc>
          <w:tcPr>
            <w:tcW w:w="1445" w:type="dxa"/>
            <w:vAlign w:val="center"/>
          </w:tcPr>
          <w:p w14:paraId="27FFB4B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著作</w:t>
            </w:r>
          </w:p>
        </w:tc>
        <w:tc>
          <w:tcPr>
            <w:tcW w:w="1230" w:type="dxa"/>
            <w:vAlign w:val="center"/>
          </w:tcPr>
          <w:p w14:paraId="2093F97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7B10D381">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3515AF0E">
            <w:pPr>
              <w:pageBreakBefore w:val="0"/>
              <w:kinsoku/>
              <w:wordWrap/>
              <w:overflowPunct/>
              <w:topLinePunct w:val="0"/>
              <w:bidi w:val="0"/>
              <w:spacing w:line="360" w:lineRule="exact"/>
              <w:jc w:val="center"/>
              <w:rPr>
                <w:rFonts w:ascii="宋体" w:hAnsi="宋体" w:cs="宋体"/>
                <w:sz w:val="18"/>
                <w:szCs w:val="18"/>
              </w:rPr>
            </w:pPr>
          </w:p>
        </w:tc>
      </w:tr>
      <w:tr w14:paraId="5B0C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593F3F9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1860" w:type="dxa"/>
            <w:vMerge w:val="restart"/>
            <w:vAlign w:val="center"/>
          </w:tcPr>
          <w:p w14:paraId="1C37D3B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发明专利</w:t>
            </w:r>
          </w:p>
        </w:tc>
        <w:tc>
          <w:tcPr>
            <w:tcW w:w="2675" w:type="dxa"/>
            <w:gridSpan w:val="2"/>
            <w:vAlign w:val="center"/>
          </w:tcPr>
          <w:p w14:paraId="26CAAFF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发明授权</w:t>
            </w:r>
          </w:p>
        </w:tc>
        <w:tc>
          <w:tcPr>
            <w:tcW w:w="962" w:type="dxa"/>
            <w:vMerge w:val="restart"/>
            <w:vAlign w:val="center"/>
          </w:tcPr>
          <w:p w14:paraId="12A2CB6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2E545E7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专业基础/专业拓展课</w:t>
            </w:r>
          </w:p>
        </w:tc>
      </w:tr>
      <w:tr w14:paraId="408B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28E79ECA">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78295B97">
            <w:pPr>
              <w:pageBreakBefore w:val="0"/>
              <w:kinsoku/>
              <w:wordWrap/>
              <w:overflowPunct/>
              <w:topLinePunct w:val="0"/>
              <w:bidi w:val="0"/>
              <w:spacing w:line="360" w:lineRule="exact"/>
              <w:jc w:val="center"/>
              <w:rPr>
                <w:rFonts w:ascii="宋体" w:hAnsi="宋体" w:cs="宋体"/>
                <w:sz w:val="18"/>
                <w:szCs w:val="18"/>
              </w:rPr>
            </w:pPr>
          </w:p>
        </w:tc>
        <w:tc>
          <w:tcPr>
            <w:tcW w:w="2675" w:type="dxa"/>
            <w:gridSpan w:val="2"/>
            <w:vAlign w:val="center"/>
          </w:tcPr>
          <w:p w14:paraId="7BA8F45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实用新型</w:t>
            </w:r>
          </w:p>
        </w:tc>
        <w:tc>
          <w:tcPr>
            <w:tcW w:w="962" w:type="dxa"/>
            <w:vMerge w:val="continue"/>
            <w:vAlign w:val="center"/>
          </w:tcPr>
          <w:p w14:paraId="2790D00B">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1201C04D">
            <w:pPr>
              <w:pageBreakBefore w:val="0"/>
              <w:kinsoku/>
              <w:wordWrap/>
              <w:overflowPunct/>
              <w:topLinePunct w:val="0"/>
              <w:bidi w:val="0"/>
              <w:spacing w:line="360" w:lineRule="exact"/>
              <w:jc w:val="center"/>
              <w:rPr>
                <w:rFonts w:ascii="宋体" w:hAnsi="宋体" w:cs="宋体"/>
                <w:sz w:val="18"/>
                <w:szCs w:val="18"/>
              </w:rPr>
            </w:pPr>
          </w:p>
        </w:tc>
      </w:tr>
    </w:tbl>
    <w:p w14:paraId="46503CA2">
      <w:pPr>
        <w:pStyle w:val="2"/>
        <w:pageBreakBefore w:val="0"/>
        <w:kinsoku/>
        <w:wordWrap/>
        <w:overflowPunct/>
        <w:topLinePunct w:val="0"/>
        <w:bidi w:val="0"/>
        <w:spacing w:after="0" w:line="360" w:lineRule="exact"/>
      </w:pPr>
    </w:p>
    <w:p w14:paraId="407B2C6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eastAsia="宋体"/>
          <w:b/>
          <w:szCs w:val="21"/>
        </w:rPr>
      </w:pPr>
      <w:r>
        <w:rPr>
          <w:rFonts w:hint="eastAsia" w:ascii="宋体" w:hAnsi="宋体"/>
          <w:b/>
          <w:szCs w:val="21"/>
          <w:lang w:val="en-US" w:eastAsia="zh-CN"/>
        </w:rPr>
        <w:t>2.</w:t>
      </w:r>
      <w:r>
        <w:rPr>
          <w:rFonts w:hint="eastAsia" w:ascii="宋体" w:hAnsi="宋体" w:eastAsia="宋体"/>
          <w:b/>
          <w:szCs w:val="21"/>
        </w:rPr>
        <w:t>毕业</w:t>
      </w:r>
      <w:r>
        <w:rPr>
          <w:rFonts w:ascii="宋体" w:hAnsi="宋体" w:eastAsia="宋体"/>
          <w:b/>
          <w:szCs w:val="21"/>
        </w:rPr>
        <w:t>证书要求</w:t>
      </w:r>
    </w:p>
    <w:p w14:paraId="44C6DD0C">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79FA98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◆幼儿园教师资格证书</w:t>
      </w:r>
    </w:p>
    <w:p w14:paraId="466C12F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eastAsia="宋体"/>
          <w:lang w:val="en-US" w:eastAsia="zh-CN"/>
        </w:rPr>
      </w:pPr>
      <w:r>
        <w:rPr>
          <w:rFonts w:hint="eastAsia"/>
        </w:rPr>
        <w:t>◆普通话</w:t>
      </w:r>
      <w:r>
        <w:rPr>
          <w:rFonts w:hint="eastAsia"/>
          <w:lang w:val="en-US" w:eastAsia="zh-CN"/>
        </w:rPr>
        <w:t>技能</w:t>
      </w:r>
      <w:r>
        <w:rPr>
          <w:rFonts w:hint="eastAsia"/>
        </w:rPr>
        <w:t>等级证书</w:t>
      </w:r>
    </w:p>
    <w:p w14:paraId="5CD56400">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◆保育师</w:t>
      </w:r>
      <w:r>
        <w:rPr>
          <w:rFonts w:hint="eastAsia"/>
          <w:lang w:val="en-US" w:eastAsia="zh-CN"/>
        </w:rPr>
        <w:t>技能</w:t>
      </w:r>
      <w:r>
        <w:rPr>
          <w:rFonts w:hint="eastAsia"/>
        </w:rPr>
        <w:t>等级证书</w:t>
      </w:r>
    </w:p>
    <w:p w14:paraId="2105E0D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◆育婴师</w:t>
      </w:r>
      <w:r>
        <w:rPr>
          <w:rFonts w:hint="eastAsia"/>
          <w:lang w:val="en-US" w:eastAsia="zh-CN"/>
        </w:rPr>
        <w:t>技能</w:t>
      </w:r>
      <w:r>
        <w:rPr>
          <w:rFonts w:hint="eastAsia"/>
        </w:rPr>
        <w:t>等级证书</w:t>
      </w:r>
    </w:p>
    <w:p w14:paraId="769BE30A">
      <w:pPr>
        <w:pageBreakBefore w:val="0"/>
        <w:kinsoku/>
        <w:wordWrap/>
        <w:overflowPunct/>
        <w:topLinePunct w:val="0"/>
        <w:bidi w:val="0"/>
        <w:adjustRightInd w:val="0"/>
        <w:snapToGrid w:val="0"/>
        <w:spacing w:line="360" w:lineRule="exact"/>
        <w:ind w:firstLine="420" w:firstLineChars="200"/>
        <w:rPr>
          <w:rFonts w:hint="eastAsia"/>
        </w:rPr>
      </w:pPr>
      <w:r>
        <w:rPr>
          <w:rFonts w:hint="eastAsia"/>
        </w:rPr>
        <w:t>◆其他与</w:t>
      </w:r>
      <w:r>
        <w:rPr>
          <w:rFonts w:hint="eastAsia"/>
          <w:lang w:val="en-US" w:eastAsia="zh-CN"/>
        </w:rPr>
        <w:t>学前教育</w:t>
      </w:r>
      <w:r>
        <w:rPr>
          <w:rFonts w:hint="eastAsia"/>
        </w:rPr>
        <w:t>相关的技能等级证书</w:t>
      </w:r>
    </w:p>
    <w:p w14:paraId="0524F200">
      <w:pPr>
        <w:pStyle w:val="2"/>
      </w:pPr>
    </w:p>
    <w:p w14:paraId="5AF453FB">
      <w:pPr>
        <w:pStyle w:val="3"/>
        <w:pageBreakBefore w:val="0"/>
        <w:kinsoku/>
        <w:wordWrap/>
        <w:overflowPunct/>
        <w:topLinePunct w:val="0"/>
        <w:bidi w:val="0"/>
        <w:spacing w:before="0" w:beforeLines="0" w:after="0" w:afterLines="0" w:line="360" w:lineRule="exact"/>
        <w:ind w:firstLine="482"/>
        <w:rPr>
          <w:rFonts w:hint="default" w:ascii="Times New Roman" w:hAnsi="Times New Roman"/>
          <w:kern w:val="2"/>
          <w:sz w:val="24"/>
          <w:szCs w:val="24"/>
        </w:rPr>
      </w:pPr>
      <w:r>
        <w:rPr>
          <w:rFonts w:hint="eastAsia" w:ascii="Times New Roman" w:hAnsi="Times New Roman"/>
          <w:kern w:val="2"/>
          <w:sz w:val="24"/>
          <w:szCs w:val="24"/>
          <w:lang w:val="en-US" w:eastAsia="zh-CN"/>
        </w:rPr>
        <w:t>九</w:t>
      </w:r>
      <w:r>
        <w:rPr>
          <w:rFonts w:ascii="Times New Roman" w:hAnsi="Times New Roman"/>
          <w:kern w:val="2"/>
          <w:sz w:val="24"/>
          <w:szCs w:val="24"/>
        </w:rPr>
        <w:t>、附录</w:t>
      </w:r>
    </w:p>
    <w:p w14:paraId="62A6FC0B">
      <w:pPr>
        <w:pageBreakBefore w:val="0"/>
        <w:kinsoku/>
        <w:wordWrap/>
        <w:overflowPunct/>
        <w:topLinePunct w:val="0"/>
        <w:bidi w:val="0"/>
        <w:adjustRightInd w:val="0"/>
        <w:snapToGrid w:val="0"/>
        <w:spacing w:line="360" w:lineRule="exact"/>
        <w:ind w:firstLine="420" w:firstLineChars="200"/>
        <w:rPr>
          <w:rFonts w:hint="eastAsia"/>
        </w:rPr>
      </w:pPr>
      <w:r>
        <w:rPr>
          <w:rFonts w:hint="eastAsia"/>
          <w:lang w:val="en-US" w:eastAsia="zh-CN"/>
        </w:rPr>
        <w:t>1.</w:t>
      </w:r>
      <w:r>
        <w:rPr>
          <w:rFonts w:hint="eastAsia"/>
        </w:rPr>
        <w:t>人才培养方案专业建设委员会审核意见表</w:t>
      </w:r>
      <w:bookmarkEnd w:id="60"/>
      <w:bookmarkEnd w:id="61"/>
      <w:bookmarkEnd w:id="62"/>
    </w:p>
    <w:p w14:paraId="26DA6096">
      <w:pPr>
        <w:pageBreakBefore w:val="0"/>
        <w:kinsoku/>
        <w:wordWrap/>
        <w:overflowPunct/>
        <w:topLinePunct w:val="0"/>
        <w:bidi w:val="0"/>
        <w:adjustRightInd w:val="0"/>
        <w:snapToGrid w:val="0"/>
        <w:spacing w:line="360" w:lineRule="exact"/>
        <w:ind w:firstLine="420" w:firstLineChars="200"/>
        <w:rPr>
          <w:rFonts w:hint="eastAsia"/>
          <w:lang w:val="en-US" w:eastAsia="zh-CN"/>
        </w:rPr>
      </w:pPr>
      <w:r>
        <w:rPr>
          <w:rFonts w:hint="eastAsia"/>
          <w:lang w:val="en-US" w:eastAsia="zh-CN"/>
        </w:rPr>
        <w:t>2.人才培养方案校级审定意见表</w:t>
      </w:r>
    </w:p>
    <w:p w14:paraId="67560237">
      <w:pPr>
        <w:pStyle w:val="2"/>
        <w:rPr>
          <w:rFonts w:hint="default"/>
          <w:lang w:val="en-US" w:eastAsia="zh-CN"/>
        </w:rPr>
      </w:pPr>
    </w:p>
    <w:p w14:paraId="0C6F359D">
      <w:pPr>
        <w:pageBreakBefore w:val="0"/>
        <w:kinsoku/>
        <w:wordWrap/>
        <w:overflowPunct/>
        <w:topLinePunct w:val="0"/>
        <w:bidi w:val="0"/>
        <w:adjustRightInd w:val="0"/>
        <w:snapToGrid w:val="0"/>
        <w:spacing w:line="360" w:lineRule="exact"/>
        <w:ind w:firstLine="420" w:firstLineChars="200"/>
        <w:rPr>
          <w:rFonts w:hint="eastAsia"/>
          <w:lang w:eastAsia="zh-CN"/>
        </w:rPr>
      </w:pPr>
      <w:r>
        <w:rPr>
          <w:rFonts w:hint="eastAsia"/>
        </w:rPr>
        <w:t>编制团队成员：轩萌萌、刘杰、张程皓、张梦雨、靳艺丹、丁嘉宁、黄向丽</w:t>
      </w:r>
      <w:r>
        <w:rPr>
          <w:rFonts w:hint="eastAsia"/>
          <w:lang w:eastAsia="zh-CN"/>
        </w:rPr>
        <w:t>、</w:t>
      </w:r>
      <w:r>
        <w:rPr>
          <w:rFonts w:hint="eastAsia"/>
          <w:lang w:val="en-US" w:eastAsia="zh-CN"/>
        </w:rPr>
        <w:t>曾煦原</w:t>
      </w:r>
    </w:p>
    <w:p w14:paraId="238683F8">
      <w:pPr>
        <w:pageBreakBefore w:val="0"/>
        <w:kinsoku/>
        <w:wordWrap/>
        <w:overflowPunct/>
        <w:topLinePunct w:val="0"/>
        <w:bidi w:val="0"/>
        <w:adjustRightInd w:val="0"/>
        <w:snapToGrid w:val="0"/>
        <w:spacing w:line="360" w:lineRule="exact"/>
        <w:ind w:firstLine="420" w:firstLineChars="200"/>
        <w:rPr>
          <w:rFonts w:hint="eastAsia"/>
        </w:rPr>
      </w:pPr>
      <w:r>
        <w:rPr>
          <w:rFonts w:hint="eastAsia"/>
        </w:rPr>
        <w:t>行业企业名称：许昌市文化街幼儿园、许昌市</w:t>
      </w:r>
      <w:r>
        <w:rPr>
          <w:rFonts w:hint="eastAsia"/>
          <w:lang w:val="en-US" w:eastAsia="zh-CN"/>
        </w:rPr>
        <w:t>人民</w:t>
      </w:r>
      <w:r>
        <w:rPr>
          <w:rFonts w:hint="eastAsia"/>
        </w:rPr>
        <w:t>政府机关幼儿园、许昌市</w:t>
      </w:r>
      <w:r>
        <w:rPr>
          <w:rFonts w:hint="eastAsia"/>
          <w:lang w:val="en-US" w:eastAsia="zh-CN"/>
        </w:rPr>
        <w:t>魏都区爱汀堡</w:t>
      </w:r>
      <w:r>
        <w:rPr>
          <w:rFonts w:hint="eastAsia"/>
        </w:rPr>
        <w:t>幼儿园</w:t>
      </w:r>
    </w:p>
    <w:p w14:paraId="50B5BD2A">
      <w:pPr>
        <w:pageBreakBefore w:val="0"/>
        <w:kinsoku/>
        <w:wordWrap/>
        <w:overflowPunct/>
        <w:topLinePunct w:val="0"/>
        <w:bidi w:val="0"/>
        <w:adjustRightInd w:val="0"/>
        <w:snapToGrid w:val="0"/>
        <w:spacing w:line="360" w:lineRule="exact"/>
        <w:ind w:firstLine="420" w:firstLineChars="200"/>
        <w:rPr>
          <w:rFonts w:hint="eastAsia"/>
        </w:rPr>
      </w:pPr>
      <w:r>
        <w:rPr>
          <w:rFonts w:hint="eastAsia"/>
        </w:rPr>
        <w:t>行业企业人员：</w:t>
      </w:r>
      <w:r>
        <w:rPr>
          <w:rFonts w:hint="eastAsia"/>
          <w:lang w:val="en-US" w:eastAsia="zh-CN"/>
        </w:rPr>
        <w:t>刘娜</w:t>
      </w:r>
      <w:r>
        <w:rPr>
          <w:rFonts w:hint="eastAsia"/>
        </w:rPr>
        <w:t xml:space="preserve"> </w:t>
      </w:r>
      <w:r>
        <w:rPr>
          <w:rFonts w:hint="eastAsia"/>
          <w:lang w:val="en-US" w:eastAsia="zh-CN"/>
        </w:rPr>
        <w:t>朱文娟</w:t>
      </w:r>
      <w:r>
        <w:rPr>
          <w:rFonts w:hint="eastAsia"/>
        </w:rPr>
        <w:t xml:space="preserve"> </w:t>
      </w:r>
      <w:r>
        <w:rPr>
          <w:rFonts w:hint="eastAsia"/>
          <w:lang w:val="en-US" w:eastAsia="zh-CN"/>
        </w:rPr>
        <w:t>刘洋洋</w:t>
      </w:r>
    </w:p>
    <w:p w14:paraId="60013812">
      <w:pPr>
        <w:pageBreakBefore w:val="0"/>
        <w:kinsoku/>
        <w:wordWrap/>
        <w:overflowPunct/>
        <w:topLinePunct w:val="0"/>
        <w:bidi w:val="0"/>
        <w:adjustRightInd w:val="0"/>
        <w:snapToGrid w:val="0"/>
        <w:spacing w:line="360" w:lineRule="exact"/>
        <w:ind w:firstLine="420" w:firstLineChars="200"/>
        <w:rPr>
          <w:rFonts w:hint="eastAsia"/>
          <w:lang w:val="en-US" w:eastAsia="zh-CN"/>
        </w:rPr>
      </w:pPr>
      <w:r>
        <w:rPr>
          <w:rFonts w:hint="eastAsia"/>
        </w:rPr>
        <w:t>院部领导（审核）：</w:t>
      </w:r>
      <w:r>
        <w:rPr>
          <w:rFonts w:hint="eastAsia"/>
          <w:lang w:val="en-US" w:eastAsia="zh-CN"/>
        </w:rPr>
        <w:t>赵新军</w:t>
      </w:r>
    </w:p>
    <w:p w14:paraId="1EAC568D">
      <w:pPr>
        <w:pageBreakBefore w:val="0"/>
        <w:kinsoku/>
        <w:wordWrap/>
        <w:overflowPunct/>
        <w:topLinePunct w:val="0"/>
        <w:bidi w:val="0"/>
        <w:adjustRightInd w:val="0"/>
        <w:snapToGrid w:val="0"/>
        <w:spacing w:line="360" w:lineRule="exact"/>
        <w:ind w:firstLine="420" w:firstLineChars="200"/>
        <w:rPr>
          <w:rFonts w:hint="eastAsia"/>
          <w:lang w:val="en-US" w:eastAsia="zh-CN"/>
        </w:rPr>
      </w:pPr>
      <w:r>
        <w:rPr>
          <w:rFonts w:hint="eastAsia"/>
        </w:rPr>
        <w:t>教务处领导（审定）：</w:t>
      </w:r>
      <w:r>
        <w:rPr>
          <w:rFonts w:hint="eastAsia"/>
          <w:lang w:val="en-US" w:eastAsia="zh-CN"/>
        </w:rPr>
        <w:t>郭磊</w:t>
      </w:r>
    </w:p>
    <w:p w14:paraId="1CE7C9E4">
      <w:pPr>
        <w:pageBreakBefore w:val="0"/>
        <w:kinsoku/>
        <w:wordWrap/>
        <w:overflowPunct/>
        <w:topLinePunct w:val="0"/>
        <w:bidi w:val="0"/>
        <w:adjustRightInd w:val="0"/>
        <w:snapToGrid w:val="0"/>
        <w:spacing w:line="360" w:lineRule="exact"/>
        <w:ind w:firstLine="420" w:firstLineChars="200"/>
        <w:rPr>
          <w:rFonts w:hint="eastAsia"/>
          <w:lang w:val="en-US" w:eastAsia="zh-CN"/>
        </w:rPr>
      </w:pPr>
      <w:r>
        <w:rPr>
          <w:rFonts w:hint="eastAsia"/>
        </w:rPr>
        <w:t>主管院长（批准执行）：</w:t>
      </w:r>
      <w:bookmarkStart w:id="64" w:name="_Toc1500"/>
      <w:bookmarkStart w:id="65" w:name="_Toc7718"/>
      <w:bookmarkStart w:id="66" w:name="_Toc29885"/>
      <w:r>
        <w:rPr>
          <w:rFonts w:hint="eastAsia"/>
          <w:lang w:val="en-US" w:eastAsia="zh-CN"/>
        </w:rPr>
        <w:t>冯朝印</w:t>
      </w:r>
    </w:p>
    <w:p w14:paraId="362262BB">
      <w:pPr>
        <w:rPr>
          <w:rFonts w:hint="default" w:ascii="黑体" w:hAnsi="黑体" w:eastAsia="黑体" w:cs="黑体"/>
          <w:color w:val="000000"/>
          <w:spacing w:val="-10"/>
          <w:sz w:val="32"/>
          <w:szCs w:val="32"/>
          <w:lang w:val="en-US" w:eastAsia="zh-CN"/>
        </w:rPr>
      </w:pPr>
      <w:r>
        <w:rPr>
          <w:rFonts w:ascii="黑体" w:hAnsi="黑体" w:eastAsia="黑体" w:cs="黑体"/>
          <w:color w:val="000000"/>
          <w:spacing w:val="-10"/>
          <w:sz w:val="32"/>
          <w:szCs w:val="32"/>
        </w:rPr>
        <w:br w:type="page"/>
      </w:r>
      <w:r>
        <w:rPr>
          <w:rFonts w:hint="eastAsia" w:ascii="宋体" w:hAnsi="宋体" w:eastAsia="宋体" w:cs="宋体"/>
          <w:color w:val="auto"/>
          <w:sz w:val="21"/>
          <w:szCs w:val="21"/>
          <w:lang w:val="en-US" w:eastAsia="zh-CN"/>
        </w:rPr>
        <w:t>附录一</w:t>
      </w:r>
      <w:r>
        <w:rPr>
          <w:rFonts w:hint="eastAsia" w:ascii="宋体" w:hAnsi="宋体" w:cs="宋体"/>
          <w:color w:val="auto"/>
          <w:sz w:val="21"/>
          <w:szCs w:val="21"/>
          <w:lang w:val="en-US" w:eastAsia="zh-CN"/>
        </w:rPr>
        <w:t>：</w:t>
      </w:r>
    </w:p>
    <w:p w14:paraId="4C53DCA3">
      <w:pPr>
        <w:pStyle w:val="2"/>
        <w:rPr>
          <w:rFonts w:hint="eastAsia" w:eastAsia="宋体"/>
          <w:lang w:eastAsia="zh-CN"/>
        </w:rPr>
      </w:pPr>
      <w:r>
        <w:rPr>
          <w:rFonts w:hint="eastAsia" w:eastAsia="宋体"/>
          <w:lang w:eastAsia="zh-CN"/>
        </w:rPr>
        <w:drawing>
          <wp:inline distT="0" distB="0" distL="114300" distR="114300">
            <wp:extent cx="5664200" cy="7693660"/>
            <wp:effectExtent l="0" t="0" r="12700" b="2540"/>
            <wp:docPr id="1" name="图片 1" descr="3d3aa7c10cbe718e0fa25b55509ff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d3aa7c10cbe718e0fa25b55509ff14"/>
                    <pic:cNvPicPr>
                      <a:picLocks noChangeAspect="1"/>
                    </pic:cNvPicPr>
                  </pic:nvPicPr>
                  <pic:blipFill>
                    <a:blip r:embed="rId6"/>
                    <a:srcRect t="900" r="1654"/>
                    <a:stretch>
                      <a:fillRect/>
                    </a:stretch>
                  </pic:blipFill>
                  <pic:spPr>
                    <a:xfrm>
                      <a:off x="0" y="0"/>
                      <a:ext cx="5664200" cy="7693660"/>
                    </a:xfrm>
                    <a:prstGeom prst="rect">
                      <a:avLst/>
                    </a:prstGeom>
                    <a:noFill/>
                    <a:ln>
                      <a:noFill/>
                    </a:ln>
                  </pic:spPr>
                </pic:pic>
              </a:graphicData>
            </a:graphic>
          </wp:inline>
        </w:drawing>
      </w:r>
    </w:p>
    <w:bookmarkEnd w:id="64"/>
    <w:bookmarkEnd w:id="65"/>
    <w:bookmarkEnd w:id="66"/>
    <w:p w14:paraId="70811CA5">
      <w:pPr>
        <w:spacing w:line="360" w:lineRule="auto"/>
        <w:rPr>
          <w:rFonts w:hint="eastAsia" w:ascii="黑体" w:eastAsia="黑体" w:cs="黑体"/>
          <w:b/>
          <w:bCs/>
          <w:color w:val="000000"/>
          <w:sz w:val="32"/>
          <w:szCs w:val="40"/>
          <w:lang w:eastAsia="zh-CN"/>
        </w:rPr>
      </w:pPr>
    </w:p>
    <w:p w14:paraId="721F5A2E">
      <w:pPr>
        <w:pStyle w:val="2"/>
        <w:rPr>
          <w:rFonts w:hint="eastAsia" w:ascii="黑体" w:eastAsia="黑体" w:cs="黑体"/>
          <w:b/>
          <w:bCs/>
          <w:color w:val="000000"/>
          <w:sz w:val="32"/>
          <w:szCs w:val="40"/>
          <w:lang w:eastAsia="zh-CN"/>
        </w:rPr>
      </w:pPr>
    </w:p>
    <w:p w14:paraId="30674615">
      <w:pPr>
        <w:pStyle w:val="2"/>
        <w:rPr>
          <w:rFonts w:hint="eastAsia" w:ascii="黑体" w:eastAsia="黑体" w:cs="黑体"/>
          <w:b/>
          <w:bCs/>
          <w:color w:val="000000"/>
          <w:sz w:val="32"/>
          <w:szCs w:val="40"/>
          <w:lang w:eastAsia="zh-CN"/>
        </w:rPr>
      </w:pPr>
    </w:p>
    <w:p w14:paraId="1294EC99">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附录二</w:t>
      </w:r>
      <w:r>
        <w:rPr>
          <w:rFonts w:hint="eastAsia" w:ascii="宋体" w:hAnsi="宋体" w:cs="宋体"/>
          <w:color w:val="auto"/>
          <w:sz w:val="21"/>
          <w:szCs w:val="21"/>
          <w:lang w:val="en-US" w:eastAsia="zh-CN"/>
        </w:rPr>
        <w:t>：</w:t>
      </w:r>
    </w:p>
    <w:p w14:paraId="1762104F">
      <w:pPr>
        <w:pStyle w:val="2"/>
        <w:rPr>
          <w:rFonts w:hint="eastAsia" w:ascii="黑体" w:eastAsia="黑体" w:cs="黑体"/>
          <w:b/>
          <w:bCs/>
          <w:color w:val="000000"/>
          <w:sz w:val="32"/>
          <w:szCs w:val="40"/>
          <w:lang w:eastAsia="zh-CN"/>
        </w:rPr>
      </w:pPr>
      <w:r>
        <w:rPr>
          <w:rFonts w:hint="eastAsia" w:ascii="黑体" w:eastAsia="黑体" w:cs="黑体"/>
          <w:b/>
          <w:bCs/>
          <w:color w:val="000000"/>
          <w:sz w:val="32"/>
          <w:szCs w:val="40"/>
          <w:lang w:eastAsia="zh-CN"/>
        </w:rPr>
        <w:drawing>
          <wp:inline distT="0" distB="0" distL="114300" distR="114300">
            <wp:extent cx="5747385" cy="8141335"/>
            <wp:effectExtent l="0" t="0" r="5715" b="12065"/>
            <wp:docPr id="2" name="图片 2" descr="98b3b5fbd5190b1472ff2e4372b0d1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8b3b5fbd5190b1472ff2e4372b0d13a"/>
                    <pic:cNvPicPr>
                      <a:picLocks noChangeAspect="1"/>
                    </pic:cNvPicPr>
                  </pic:nvPicPr>
                  <pic:blipFill>
                    <a:blip r:embed="rId7"/>
                    <a:stretch>
                      <a:fillRect/>
                    </a:stretch>
                  </pic:blipFill>
                  <pic:spPr>
                    <a:xfrm>
                      <a:off x="0" y="0"/>
                      <a:ext cx="5747385" cy="8141335"/>
                    </a:xfrm>
                    <a:prstGeom prst="rect">
                      <a:avLst/>
                    </a:prstGeom>
                    <a:noFill/>
                    <a:ln>
                      <a:noFill/>
                    </a:ln>
                  </pic:spPr>
                </pic:pic>
              </a:graphicData>
            </a:graphic>
          </wp:inline>
        </w:drawing>
      </w:r>
    </w:p>
    <w:p w14:paraId="6A833480">
      <w:pPr>
        <w:pStyle w:val="2"/>
        <w:rPr>
          <w:rFonts w:hint="eastAsia"/>
          <w:lang w:eastAsia="zh-CN"/>
        </w:rPr>
      </w:pPr>
    </w:p>
    <w:sectPr>
      <w:footerReference r:id="rId4"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EB2E4B7-8316-4AD8-98CE-70D1458A1253}"/>
  </w:font>
  <w:font w:name="黑体">
    <w:panose1 w:val="02010609060101010101"/>
    <w:charset w:val="86"/>
    <w:family w:val="auto"/>
    <w:pitch w:val="default"/>
    <w:sig w:usb0="800002BF" w:usb1="38CF7CFA" w:usb2="00000016" w:usb3="00000000" w:csb0="00040001" w:csb1="00000000"/>
    <w:embedRegular r:id="rId2" w:fontKey="{DDA0406D-9B68-49E7-B63B-4C312BF51B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07B141D6-6DFB-48DE-BC62-A91DF64A8B03}"/>
  </w:font>
  <w:font w:name="Segoe UI">
    <w:panose1 w:val="020B0502040204020203"/>
    <w:charset w:val="00"/>
    <w:family w:val="swiss"/>
    <w:pitch w:val="default"/>
    <w:sig w:usb0="E4002EFF" w:usb1="C000E47F" w:usb2="00000009" w:usb3="00000000" w:csb0="200001FF" w:csb1="00000000"/>
    <w:embedRegular r:id="rId4" w:fontKey="{0C5FE7E4-DD8B-4AF7-87E2-966045DB81E6}"/>
  </w:font>
  <w:font w:name="楷体_GB2312">
    <w:panose1 w:val="02010609030101010101"/>
    <w:charset w:val="86"/>
    <w:family w:val="modern"/>
    <w:pitch w:val="default"/>
    <w:sig w:usb0="00000001" w:usb1="080E0000" w:usb2="00000000" w:usb3="00000000" w:csb0="00040000" w:csb1="00000000"/>
    <w:embedRegular r:id="rId5" w:fontKey="{7A5859FD-9F51-481A-BC4C-E5A2CB20EDF2}"/>
  </w:font>
  <w:font w:name="微软雅黑">
    <w:panose1 w:val="020B0503020204020204"/>
    <w:charset w:val="86"/>
    <w:family w:val="swiss"/>
    <w:pitch w:val="default"/>
    <w:sig w:usb0="80000287" w:usb1="2ACF3C50" w:usb2="00000016" w:usb3="00000000" w:csb0="0004001F" w:csb1="00000000"/>
    <w:embedRegular r:id="rId6" w:fontKey="{2BD5A109-1CFA-4CA9-8F8B-7D33A55A05F9}"/>
  </w:font>
  <w:font w:name="WPSEMBED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B23FA">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03CFE5">
                          <w:pPr>
                            <w:pStyle w:val="9"/>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s5ksYBAACb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a86sMPTgl+/fLj9+XX5+Zcsk&#10;T++xoqoHT3VxuHMDLc0cRwom1kMbTPoSH0Z5Evd8FReGyGS6tF6t1yWlJOVmh/CLx+s+YHwLzrBk&#10;1DzQ62VRxek9xrF0LkndrLtXWucX1PavAGGOEcgrMN1OTMaJkxWH/TDR27vmTOx6WoOaW9p6zvQ7&#10;SyqnjZmNMBv7yUgd0d8eI42Rp0uoIxSxSg69WeY37Vdaij/9XPX4T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OzmSxgEAAJsDAAAOAAAAAAAAAAEAIAAAAB4BAABkcnMvZTJvRG9jLnht&#10;bFBLBQYAAAAABgAGAFkBAABWBQAAAAA=&#10;">
              <v:fill on="f" focussize="0,0"/>
              <v:stroke on="f"/>
              <v:imagedata o:title=""/>
              <o:lock v:ext="edit" aspectratio="f"/>
              <v:textbox inset="0mm,0mm,0mm,0mm" style="mso-fit-shape-to-text:t;">
                <w:txbxContent>
                  <w:p w14:paraId="2803CFE5">
                    <w:pPr>
                      <w:pStyle w:val="9"/>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38D78A8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B9A69">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A50B3"/>
    <w:multiLevelType w:val="singleLevel"/>
    <w:tmpl w:val="9B4A50B3"/>
    <w:lvl w:ilvl="0" w:tentative="0">
      <w:start w:val="1"/>
      <w:numFmt w:val="decimal"/>
      <w:suff w:val="space"/>
      <w:lvlText w:val="%1."/>
      <w:lvlJc w:val="left"/>
    </w:lvl>
  </w:abstractNum>
  <w:abstractNum w:abstractNumId="1">
    <w:nsid w:val="AAC5FAB3"/>
    <w:multiLevelType w:val="singleLevel"/>
    <w:tmpl w:val="AAC5FAB3"/>
    <w:lvl w:ilvl="0" w:tentative="0">
      <w:start w:val="2"/>
      <w:numFmt w:val="chineseCounting"/>
      <w:suff w:val="nothing"/>
      <w:lvlText w:val="（%1）"/>
      <w:lvlJc w:val="left"/>
      <w:rPr>
        <w:rFonts w:hint="eastAsia"/>
      </w:rPr>
    </w:lvl>
  </w:abstractNum>
  <w:abstractNum w:abstractNumId="2">
    <w:nsid w:val="AFB83E39"/>
    <w:multiLevelType w:val="singleLevel"/>
    <w:tmpl w:val="AFB83E39"/>
    <w:lvl w:ilvl="0" w:tentative="0">
      <w:start w:val="1"/>
      <w:numFmt w:val="decimal"/>
      <w:lvlText w:val="%1."/>
      <w:lvlJc w:val="left"/>
      <w:pPr>
        <w:tabs>
          <w:tab w:val="left" w:pos="312"/>
        </w:tabs>
      </w:pPr>
    </w:lvl>
  </w:abstractNum>
  <w:abstractNum w:abstractNumId="3">
    <w:nsid w:val="F4ECA58D"/>
    <w:multiLevelType w:val="singleLevel"/>
    <w:tmpl w:val="F4ECA58D"/>
    <w:lvl w:ilvl="0" w:tentative="0">
      <w:start w:val="1"/>
      <w:numFmt w:val="decimal"/>
      <w:lvlText w:val="%1."/>
      <w:lvlJc w:val="left"/>
      <w:pPr>
        <w:tabs>
          <w:tab w:val="left" w:pos="312"/>
        </w:tabs>
      </w:pPr>
    </w:lvl>
  </w:abstractNum>
  <w:abstractNum w:abstractNumId="4">
    <w:nsid w:val="32BDE1B2"/>
    <w:multiLevelType w:val="singleLevel"/>
    <w:tmpl w:val="32BDE1B2"/>
    <w:lvl w:ilvl="0" w:tentative="0">
      <w:start w:val="1"/>
      <w:numFmt w:val="decimal"/>
      <w:lvlText w:val="%1."/>
      <w:lvlJc w:val="left"/>
      <w:pPr>
        <w:tabs>
          <w:tab w:val="left" w:pos="312"/>
        </w:tabs>
      </w:pPr>
    </w:lvl>
  </w:abstractNum>
  <w:abstractNum w:abstractNumId="5">
    <w:nsid w:val="3B63CF96"/>
    <w:multiLevelType w:val="singleLevel"/>
    <w:tmpl w:val="3B63CF96"/>
    <w:lvl w:ilvl="0" w:tentative="0">
      <w:start w:val="1"/>
      <w:numFmt w:val="decimal"/>
      <w:suff w:val="space"/>
      <w:lvlText w:val="%1."/>
      <w:lvlJc w:val="left"/>
    </w:lvl>
  </w:abstractNum>
  <w:abstractNum w:abstractNumId="6">
    <w:nsid w:val="45728DD0"/>
    <w:multiLevelType w:val="singleLevel"/>
    <w:tmpl w:val="45728DD0"/>
    <w:lvl w:ilvl="0" w:tentative="0">
      <w:start w:val="1"/>
      <w:numFmt w:val="decimal"/>
      <w:lvlText w:val="%1."/>
      <w:lvlJc w:val="left"/>
      <w:pPr>
        <w:tabs>
          <w:tab w:val="left" w:pos="312"/>
        </w:tabs>
      </w:pPr>
    </w:lvl>
  </w:abstractNum>
  <w:abstractNum w:abstractNumId="7">
    <w:nsid w:val="54E1C290"/>
    <w:multiLevelType w:val="singleLevel"/>
    <w:tmpl w:val="54E1C290"/>
    <w:lvl w:ilvl="0" w:tentative="0">
      <w:start w:val="2"/>
      <w:numFmt w:val="chineseCounting"/>
      <w:suff w:val="nothing"/>
      <w:lvlText w:val="（%1）"/>
      <w:lvlJc w:val="left"/>
      <w:rPr>
        <w:rFonts w:hint="eastAsia"/>
      </w:rPr>
    </w:lvl>
  </w:abstractNum>
  <w:num w:numId="1">
    <w:abstractNumId w:val="7"/>
  </w:num>
  <w:num w:numId="2">
    <w:abstractNumId w:val="4"/>
  </w:num>
  <w:num w:numId="3">
    <w:abstractNumId w:val="5"/>
  </w:num>
  <w:num w:numId="4">
    <w:abstractNumId w:val="6"/>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yMzYxYjZjOTRmYjk0OTc3NzQ3NjNkNDYyNmQifQ=="/>
    <w:docVar w:name="KSO_WPS_MARK_KEY" w:val="566bfaff-34dc-4541-bd06-435179fdddc7"/>
  </w:docVars>
  <w:rsids>
    <w:rsidRoot w:val="6F9C53FD"/>
    <w:rsid w:val="000B44D3"/>
    <w:rsid w:val="0016469E"/>
    <w:rsid w:val="0019223B"/>
    <w:rsid w:val="001B1167"/>
    <w:rsid w:val="002945F0"/>
    <w:rsid w:val="002B4B8B"/>
    <w:rsid w:val="004915D7"/>
    <w:rsid w:val="00562DC2"/>
    <w:rsid w:val="0072308F"/>
    <w:rsid w:val="00930D6E"/>
    <w:rsid w:val="009F3833"/>
    <w:rsid w:val="00A4758C"/>
    <w:rsid w:val="00B41B4C"/>
    <w:rsid w:val="00D43945"/>
    <w:rsid w:val="00E06C46"/>
    <w:rsid w:val="00E17305"/>
    <w:rsid w:val="018A2D98"/>
    <w:rsid w:val="01DA574F"/>
    <w:rsid w:val="03914744"/>
    <w:rsid w:val="03F84D6E"/>
    <w:rsid w:val="049532C5"/>
    <w:rsid w:val="058D598A"/>
    <w:rsid w:val="085B200E"/>
    <w:rsid w:val="08CD6CBE"/>
    <w:rsid w:val="09904F14"/>
    <w:rsid w:val="09DC25D1"/>
    <w:rsid w:val="0ACB263A"/>
    <w:rsid w:val="0ACC3DF3"/>
    <w:rsid w:val="0B143D38"/>
    <w:rsid w:val="0C7065C2"/>
    <w:rsid w:val="0D3478BC"/>
    <w:rsid w:val="0D9F3CDC"/>
    <w:rsid w:val="0E4F0DAA"/>
    <w:rsid w:val="0F6C03BE"/>
    <w:rsid w:val="0FA63D9A"/>
    <w:rsid w:val="102A47F5"/>
    <w:rsid w:val="114B387C"/>
    <w:rsid w:val="138E2DA0"/>
    <w:rsid w:val="142E63A6"/>
    <w:rsid w:val="143B3428"/>
    <w:rsid w:val="148F28CB"/>
    <w:rsid w:val="14BA1BCC"/>
    <w:rsid w:val="14EB2C15"/>
    <w:rsid w:val="15576B7A"/>
    <w:rsid w:val="1586381E"/>
    <w:rsid w:val="159863B1"/>
    <w:rsid w:val="18386775"/>
    <w:rsid w:val="18956BD8"/>
    <w:rsid w:val="18E82455"/>
    <w:rsid w:val="198D12D9"/>
    <w:rsid w:val="19B37C4A"/>
    <w:rsid w:val="1A512FD2"/>
    <w:rsid w:val="1A564145"/>
    <w:rsid w:val="1A710F7F"/>
    <w:rsid w:val="1AEB2BD4"/>
    <w:rsid w:val="1B122762"/>
    <w:rsid w:val="1B4F59FE"/>
    <w:rsid w:val="1BA91E00"/>
    <w:rsid w:val="1C3F7586"/>
    <w:rsid w:val="1C8E1396"/>
    <w:rsid w:val="1CD001DE"/>
    <w:rsid w:val="1D532BBD"/>
    <w:rsid w:val="1DD737EE"/>
    <w:rsid w:val="1F071EB1"/>
    <w:rsid w:val="1F2E48AE"/>
    <w:rsid w:val="20064F82"/>
    <w:rsid w:val="200F4C28"/>
    <w:rsid w:val="202E24AC"/>
    <w:rsid w:val="21EC165C"/>
    <w:rsid w:val="22252D7A"/>
    <w:rsid w:val="231F5A1C"/>
    <w:rsid w:val="23737B15"/>
    <w:rsid w:val="24C86E4F"/>
    <w:rsid w:val="26F40F6D"/>
    <w:rsid w:val="272047A8"/>
    <w:rsid w:val="27491B91"/>
    <w:rsid w:val="27635AC1"/>
    <w:rsid w:val="29154D6B"/>
    <w:rsid w:val="29426DB8"/>
    <w:rsid w:val="2A3E2A0C"/>
    <w:rsid w:val="2CE808E6"/>
    <w:rsid w:val="2D220F1B"/>
    <w:rsid w:val="2DC74AB3"/>
    <w:rsid w:val="2E632643"/>
    <w:rsid w:val="2EEB534C"/>
    <w:rsid w:val="2F2A6E19"/>
    <w:rsid w:val="2FE53B49"/>
    <w:rsid w:val="306C66CE"/>
    <w:rsid w:val="31356182"/>
    <w:rsid w:val="314D52FE"/>
    <w:rsid w:val="318F4248"/>
    <w:rsid w:val="322D17D7"/>
    <w:rsid w:val="32D64AF4"/>
    <w:rsid w:val="33CC5BCC"/>
    <w:rsid w:val="33D77C4D"/>
    <w:rsid w:val="34140EA1"/>
    <w:rsid w:val="344352E2"/>
    <w:rsid w:val="35B53A8A"/>
    <w:rsid w:val="36993366"/>
    <w:rsid w:val="371157DE"/>
    <w:rsid w:val="37C13CC8"/>
    <w:rsid w:val="38284A5E"/>
    <w:rsid w:val="38A30A45"/>
    <w:rsid w:val="39783FBB"/>
    <w:rsid w:val="39B50A30"/>
    <w:rsid w:val="3A717D6E"/>
    <w:rsid w:val="3B027E70"/>
    <w:rsid w:val="3B512C60"/>
    <w:rsid w:val="3BA048D6"/>
    <w:rsid w:val="3C447E49"/>
    <w:rsid w:val="3CE77152"/>
    <w:rsid w:val="3DEF4727"/>
    <w:rsid w:val="3E2D5039"/>
    <w:rsid w:val="3EAD7A03"/>
    <w:rsid w:val="3ED21B5C"/>
    <w:rsid w:val="3F2F6CF2"/>
    <w:rsid w:val="3F4E170B"/>
    <w:rsid w:val="3F56236D"/>
    <w:rsid w:val="3F9B5FD2"/>
    <w:rsid w:val="403D0580"/>
    <w:rsid w:val="41810E86"/>
    <w:rsid w:val="419B49AF"/>
    <w:rsid w:val="42B357FF"/>
    <w:rsid w:val="42FF4713"/>
    <w:rsid w:val="43461A6B"/>
    <w:rsid w:val="4629258A"/>
    <w:rsid w:val="47E02B00"/>
    <w:rsid w:val="48342EC4"/>
    <w:rsid w:val="497D05E5"/>
    <w:rsid w:val="4B0B04B0"/>
    <w:rsid w:val="4B9B79A8"/>
    <w:rsid w:val="4C463387"/>
    <w:rsid w:val="4EE11B3C"/>
    <w:rsid w:val="4F8859D7"/>
    <w:rsid w:val="4FD42BD2"/>
    <w:rsid w:val="4FDC288E"/>
    <w:rsid w:val="4FFC2ABD"/>
    <w:rsid w:val="50810226"/>
    <w:rsid w:val="5090516C"/>
    <w:rsid w:val="51F91CE2"/>
    <w:rsid w:val="52BB6C5F"/>
    <w:rsid w:val="52C704DA"/>
    <w:rsid w:val="531377B4"/>
    <w:rsid w:val="53164305"/>
    <w:rsid w:val="54243C95"/>
    <w:rsid w:val="54854A39"/>
    <w:rsid w:val="55170E6A"/>
    <w:rsid w:val="559B337F"/>
    <w:rsid w:val="56DC20EA"/>
    <w:rsid w:val="570D6EAC"/>
    <w:rsid w:val="577B69BD"/>
    <w:rsid w:val="57885AA9"/>
    <w:rsid w:val="57A41351"/>
    <w:rsid w:val="57C933B0"/>
    <w:rsid w:val="590A41CB"/>
    <w:rsid w:val="59613991"/>
    <w:rsid w:val="59D6612D"/>
    <w:rsid w:val="5A2169E8"/>
    <w:rsid w:val="5A225816"/>
    <w:rsid w:val="5B4A6DD2"/>
    <w:rsid w:val="5B991157"/>
    <w:rsid w:val="5C175853"/>
    <w:rsid w:val="5C3E08A4"/>
    <w:rsid w:val="5CA80D3D"/>
    <w:rsid w:val="5CF35248"/>
    <w:rsid w:val="5D517E09"/>
    <w:rsid w:val="5D7054D9"/>
    <w:rsid w:val="5F0E5B21"/>
    <w:rsid w:val="5FC302DD"/>
    <w:rsid w:val="606A034A"/>
    <w:rsid w:val="606E3563"/>
    <w:rsid w:val="614E0FA6"/>
    <w:rsid w:val="61AE798F"/>
    <w:rsid w:val="61F84706"/>
    <w:rsid w:val="62960B4F"/>
    <w:rsid w:val="62C778F2"/>
    <w:rsid w:val="62D0605A"/>
    <w:rsid w:val="63332C29"/>
    <w:rsid w:val="63343E26"/>
    <w:rsid w:val="63F40CEF"/>
    <w:rsid w:val="65646A63"/>
    <w:rsid w:val="658033EF"/>
    <w:rsid w:val="66C81697"/>
    <w:rsid w:val="671A4217"/>
    <w:rsid w:val="674C0B04"/>
    <w:rsid w:val="67535261"/>
    <w:rsid w:val="683706DE"/>
    <w:rsid w:val="68ED6339"/>
    <w:rsid w:val="6AA14535"/>
    <w:rsid w:val="6AF92252"/>
    <w:rsid w:val="6B3B257D"/>
    <w:rsid w:val="6BF72C11"/>
    <w:rsid w:val="6C0854F6"/>
    <w:rsid w:val="6C607508"/>
    <w:rsid w:val="6CE1032F"/>
    <w:rsid w:val="6D7762A4"/>
    <w:rsid w:val="6DA50AF9"/>
    <w:rsid w:val="6F9635F5"/>
    <w:rsid w:val="6F9C53FD"/>
    <w:rsid w:val="6FBE19E1"/>
    <w:rsid w:val="7045748D"/>
    <w:rsid w:val="70531426"/>
    <w:rsid w:val="70F0545C"/>
    <w:rsid w:val="70FF3672"/>
    <w:rsid w:val="712566B3"/>
    <w:rsid w:val="729606F7"/>
    <w:rsid w:val="72E66F89"/>
    <w:rsid w:val="73F7044F"/>
    <w:rsid w:val="744063D9"/>
    <w:rsid w:val="74792FEF"/>
    <w:rsid w:val="749A6F5B"/>
    <w:rsid w:val="75D55C0A"/>
    <w:rsid w:val="76585CC1"/>
    <w:rsid w:val="76E47C83"/>
    <w:rsid w:val="785077A9"/>
    <w:rsid w:val="78AE45CD"/>
    <w:rsid w:val="78AE49E2"/>
    <w:rsid w:val="79BA4854"/>
    <w:rsid w:val="7A347F71"/>
    <w:rsid w:val="7C6A7EF0"/>
    <w:rsid w:val="7C7862D5"/>
    <w:rsid w:val="7CA51C63"/>
    <w:rsid w:val="7D7D4807"/>
    <w:rsid w:val="7E1B6D74"/>
    <w:rsid w:val="7F68095D"/>
    <w:rsid w:val="7F833DB1"/>
    <w:rsid w:val="7F89586C"/>
    <w:rsid w:val="7F8D3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4">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7">
    <w:name w:val="annotation text"/>
    <w:basedOn w:val="1"/>
    <w:link w:val="23"/>
    <w:qFormat/>
    <w:uiPriority w:val="0"/>
    <w:pPr>
      <w:jc w:val="left"/>
    </w:pPr>
  </w:style>
  <w:style w:type="paragraph" w:styleId="8">
    <w:name w:val="Balloon Text"/>
    <w:basedOn w:val="1"/>
    <w:link w:val="25"/>
    <w:qFormat/>
    <w:uiPriority w:val="0"/>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7"/>
    <w:next w:val="7"/>
    <w:link w:val="24"/>
    <w:qFormat/>
    <w:uiPriority w:val="0"/>
    <w:rPr>
      <w:b/>
      <w:bCs/>
    </w:rPr>
  </w:style>
  <w:style w:type="paragraph" w:styleId="13">
    <w:name w:val="Body Text First Indent"/>
    <w:basedOn w:val="2"/>
    <w:qFormat/>
    <w:uiPriority w:val="99"/>
    <w:pPr>
      <w:spacing w:after="0" w:line="360" w:lineRule="auto"/>
      <w:ind w:firstLine="420" w:firstLineChars="10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basedOn w:val="16"/>
    <w:qFormat/>
    <w:uiPriority w:val="99"/>
    <w:rPr>
      <w:rFonts w:cs="Times New Roman"/>
      <w:sz w:val="21"/>
      <w:szCs w:val="21"/>
    </w:rPr>
  </w:style>
  <w:style w:type="table" w:customStyle="1" w:styleId="1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0">
    <w:name w:val="列出段落1"/>
    <w:basedOn w:val="1"/>
    <w:qFormat/>
    <w:uiPriority w:val="0"/>
    <w:pPr>
      <w:widowControl/>
      <w:ind w:firstLine="420" w:firstLineChars="200"/>
      <w:jc w:val="left"/>
    </w:pPr>
    <w:rPr>
      <w:rFonts w:ascii="宋体" w:hAnsi="宋体" w:cs="宋体"/>
      <w:kern w:val="0"/>
      <w:sz w:val="24"/>
    </w:rPr>
  </w:style>
  <w:style w:type="paragraph" w:customStyle="1" w:styleId="21">
    <w:name w:val="Table Text"/>
    <w:basedOn w:val="1"/>
    <w:qFormat/>
    <w:uiPriority w:val="0"/>
    <w:rPr>
      <w:rFonts w:ascii="Arial" w:hAnsi="Arial" w:eastAsia="Arial" w:cs="Arial"/>
      <w:sz w:val="18"/>
      <w:szCs w:val="18"/>
      <w:lang w:eastAsia="en-US"/>
    </w:rPr>
  </w:style>
  <w:style w:type="paragraph" w:customStyle="1" w:styleId="22">
    <w:name w:val="方正书宋-正文"/>
    <w:basedOn w:val="1"/>
    <w:qFormat/>
    <w:uiPriority w:val="0"/>
    <w:pPr>
      <w:spacing w:line="300" w:lineRule="exact"/>
      <w:ind w:firstLine="880" w:firstLineChars="200"/>
    </w:pPr>
    <w:rPr>
      <w:rFonts w:ascii="方正书宋简体" w:hAnsi="方正书宋简体" w:eastAsia="方正书宋简体"/>
    </w:rPr>
  </w:style>
  <w:style w:type="character" w:customStyle="1" w:styleId="23">
    <w:name w:val="批注文字 字符"/>
    <w:basedOn w:val="16"/>
    <w:link w:val="7"/>
    <w:qFormat/>
    <w:uiPriority w:val="0"/>
    <w:rPr>
      <w:kern w:val="2"/>
      <w:sz w:val="21"/>
      <w:szCs w:val="24"/>
    </w:rPr>
  </w:style>
  <w:style w:type="character" w:customStyle="1" w:styleId="24">
    <w:name w:val="批注主题 字符"/>
    <w:basedOn w:val="23"/>
    <w:link w:val="12"/>
    <w:qFormat/>
    <w:uiPriority w:val="0"/>
    <w:rPr>
      <w:b/>
      <w:bCs/>
      <w:kern w:val="2"/>
      <w:sz w:val="21"/>
      <w:szCs w:val="24"/>
    </w:rPr>
  </w:style>
  <w:style w:type="character" w:customStyle="1" w:styleId="25">
    <w:name w:val="批注框文本 字符"/>
    <w:basedOn w:val="16"/>
    <w:link w:val="8"/>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2254</Words>
  <Characters>2294</Characters>
  <Lines>3022</Lines>
  <Paragraphs>2496</Paragraphs>
  <TotalTime>0</TotalTime>
  <ScaleCrop>false</ScaleCrop>
  <LinksUpToDate>false</LinksUpToDate>
  <CharactersWithSpaces>2449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尚举</cp:lastModifiedBy>
  <dcterms:modified xsi:type="dcterms:W3CDTF">2025-12-16T11:04:15Z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3C83F42136454965BCCCFEA2383BAD44_13</vt:lpwstr>
  </property>
  <property fmtid="{D5CDD505-2E9C-101B-9397-08002B2CF9AE}" pid="4" name="KSOTemplateDocerSaveRecord">
    <vt:lpwstr>eyJoZGlkIjoiZWI1ODQyY2I0YmYwNTRkZTk3ZjdmN2M0NDBjOTdjNjciLCJ1c2VySWQiOiIzMzA3MjYzMDAifQ==</vt:lpwstr>
  </property>
</Properties>
</file>