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5A887">
      <w:pPr>
        <w:spacing w:line="360" w:lineRule="exact"/>
        <w:rPr>
          <w:rFonts w:hint="eastAsia" w:ascii="宋体" w:hAnsi="宋体" w:eastAsia="宋体" w:cs="Times New Roman"/>
          <w:b/>
          <w:sz w:val="28"/>
          <w:szCs w:val="28"/>
        </w:rPr>
      </w:pPr>
      <w:bookmarkStart w:id="48" w:name="_GoBack"/>
      <w:bookmarkEnd w:id="48"/>
    </w:p>
    <w:p w14:paraId="1B108779">
      <w:pPr>
        <w:spacing w:line="360" w:lineRule="exact"/>
        <w:rPr>
          <w:rFonts w:hint="eastAsia" w:ascii="宋体" w:hAnsi="宋体" w:eastAsia="宋体" w:cs="Times New Roman"/>
          <w:b/>
          <w:sz w:val="28"/>
          <w:szCs w:val="28"/>
        </w:rPr>
      </w:pPr>
    </w:p>
    <w:p w14:paraId="62925726">
      <w:pPr>
        <w:spacing w:line="360" w:lineRule="exact"/>
        <w:rPr>
          <w:rFonts w:hint="eastAsia" w:ascii="宋体" w:hAnsi="宋体" w:eastAsia="宋体" w:cs="Times New Roman"/>
          <w:b/>
          <w:sz w:val="28"/>
          <w:szCs w:val="28"/>
        </w:rPr>
      </w:pPr>
    </w:p>
    <w:p w14:paraId="00587BFD">
      <w:pPr>
        <w:spacing w:line="360" w:lineRule="exact"/>
        <w:rPr>
          <w:rFonts w:hint="eastAsia" w:ascii="宋体" w:hAnsi="宋体" w:eastAsia="宋体" w:cs="Times New Roman"/>
          <w:b/>
          <w:sz w:val="28"/>
          <w:szCs w:val="28"/>
        </w:rPr>
      </w:pPr>
    </w:p>
    <w:p w14:paraId="115E6C60">
      <w:pPr>
        <w:spacing w:line="240" w:lineRule="auto"/>
        <w:jc w:val="center"/>
        <w:rPr>
          <w:rFonts w:hint="eastAsia" w:ascii="Times New Roman" w:hAnsi="Times New Roman" w:eastAsia="宋体"/>
          <w:b/>
          <w:sz w:val="48"/>
          <w:szCs w:val="48"/>
          <w:lang w:val="en-US" w:eastAsia="zh-CN"/>
        </w:rPr>
      </w:pPr>
      <w:r>
        <w:rPr>
          <w:rFonts w:hint="eastAsia" w:ascii="Times New Roman" w:hAnsi="Times New Roman"/>
          <w:b/>
          <w:sz w:val="48"/>
          <w:szCs w:val="48"/>
          <w:lang w:val="en-US" w:eastAsia="zh-CN"/>
        </w:rPr>
        <w:t>许昌陶瓷职业学院</w:t>
      </w:r>
    </w:p>
    <w:p w14:paraId="2CCA07F4">
      <w:pPr>
        <w:spacing w:line="360" w:lineRule="exact"/>
        <w:jc w:val="center"/>
        <w:rPr>
          <w:rFonts w:hint="eastAsia" w:ascii="宋体" w:hAnsi="宋体" w:eastAsia="宋体" w:cs="Times New Roman"/>
          <w:b/>
          <w:sz w:val="28"/>
          <w:szCs w:val="28"/>
        </w:rPr>
      </w:pPr>
    </w:p>
    <w:p w14:paraId="3456A5F2">
      <w:pPr>
        <w:spacing w:line="240" w:lineRule="auto"/>
        <w:jc w:val="center"/>
        <w:rPr>
          <w:rFonts w:hint="eastAsia" w:ascii="Times New Roman" w:hAnsi="Times New Roman"/>
          <w:b/>
          <w:color w:val="FF0000"/>
          <w:sz w:val="24"/>
          <w:szCs w:val="24"/>
        </w:rPr>
      </w:pPr>
      <w:r>
        <w:rPr>
          <w:rFonts w:hint="eastAsia" w:ascii="Times New Roman" w:hAnsi="Times New Roman"/>
          <w:b/>
          <w:color w:val="000000" w:themeColor="text1"/>
          <w:sz w:val="48"/>
          <w:szCs w:val="48"/>
          <w:lang w:val="en-US" w:eastAsia="zh-CN"/>
          <w14:textFill>
            <w14:solidFill>
              <w14:schemeClr w14:val="tx1"/>
            </w14:solidFill>
          </w14:textFill>
        </w:rPr>
        <w:t>大数据技术</w:t>
      </w:r>
      <w:r>
        <w:rPr>
          <w:rFonts w:hint="eastAsia" w:ascii="Times New Roman" w:hAnsi="Times New Roman"/>
          <w:b/>
          <w:sz w:val="48"/>
          <w:szCs w:val="48"/>
        </w:rPr>
        <w:t>专业人才培养方案</w:t>
      </w:r>
    </w:p>
    <w:p w14:paraId="2077F518">
      <w:pPr>
        <w:spacing w:line="360" w:lineRule="exact"/>
        <w:jc w:val="center"/>
        <w:rPr>
          <w:rFonts w:hint="eastAsia" w:ascii="宋体" w:hAnsi="宋体" w:eastAsia="宋体" w:cs="Times New Roman"/>
          <w:b/>
          <w:sz w:val="28"/>
          <w:szCs w:val="28"/>
        </w:rPr>
      </w:pPr>
    </w:p>
    <w:p w14:paraId="1FFE4BC5">
      <w:pPr>
        <w:spacing w:line="360" w:lineRule="exact"/>
        <w:jc w:val="center"/>
        <w:rPr>
          <w:rFonts w:hint="eastAsia" w:ascii="宋体" w:hAnsi="宋体" w:eastAsia="宋体" w:cs="Times New Roman"/>
          <w:b/>
          <w:sz w:val="28"/>
          <w:szCs w:val="28"/>
        </w:rPr>
      </w:pPr>
    </w:p>
    <w:p w14:paraId="0050BD5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人工智能学院            </w:t>
      </w:r>
    </w:p>
    <w:p w14:paraId="64B6A51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执  笔  人：</w:t>
      </w:r>
      <w:r>
        <w:rPr>
          <w:rFonts w:hint="eastAsia" w:ascii="微软雅黑" w:hAnsi="微软雅黑" w:eastAsia="微软雅黑" w:cs="微软雅黑"/>
          <w:b w:val="0"/>
          <w:bCs w:val="0"/>
          <w:color w:val="auto"/>
          <w:sz w:val="32"/>
          <w:szCs w:val="32"/>
          <w:highlight w:val="none"/>
          <w:u w:val="single"/>
          <w:lang w:val="en-US" w:eastAsia="zh-CN"/>
        </w:rPr>
        <w:t xml:space="preserve">            李伟娜                </w:t>
      </w:r>
    </w:p>
    <w:p w14:paraId="59FC00D9">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b w:val="0"/>
          <w:bCs w:val="0"/>
          <w:color w:val="auto"/>
          <w:sz w:val="32"/>
          <w:szCs w:val="32"/>
          <w:highlight w:val="none"/>
          <w:u w:val="single"/>
          <w:lang w:val="en-US" w:eastAsia="zh-CN"/>
        </w:rPr>
        <w:t xml:space="preserve">李伟娜 卜龙飞 王姗姗 韩旭 梁屹恒 </w:t>
      </w:r>
    </w:p>
    <w:p w14:paraId="519C5DEC">
      <w:pPr>
        <w:adjustRightInd w:val="0"/>
        <w:snapToGrid w:val="0"/>
        <w:spacing w:before="312" w:beforeLines="100" w:after="156" w:afterLines="50" w:line="240" w:lineRule="auto"/>
        <w:ind w:firstLine="1280" w:firstLineChars="400"/>
        <w:outlineLvl w:val="0"/>
        <w:rPr>
          <w:rFonts w:hint="eastAsia"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河南云和数据有限公司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7B47CE2D">
      <w:pPr>
        <w:adjustRightInd w:val="0"/>
        <w:snapToGrid w:val="0"/>
        <w:spacing w:before="312" w:beforeLines="100" w:after="156" w:afterLines="50" w:line="240" w:lineRule="auto"/>
        <w:ind w:firstLine="1280" w:firstLineChars="400"/>
        <w:outlineLvl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u w:val="none"/>
          <w:lang w:val="en-US" w:eastAsia="zh-CN"/>
        </w:rPr>
        <w:t xml:space="preserve">              </w:t>
      </w:r>
      <w:r>
        <w:rPr>
          <w:rFonts w:hint="eastAsia" w:ascii="微软雅黑" w:hAnsi="微软雅黑" w:eastAsia="微软雅黑" w:cs="微软雅黑"/>
          <w:sz w:val="32"/>
          <w:szCs w:val="32"/>
          <w:u w:val="single"/>
          <w:lang w:val="en-US" w:eastAsia="zh-CN"/>
        </w:rPr>
        <w:t>新大陆时代科技</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2EC6D44A">
      <w:pPr>
        <w:adjustRightInd w:val="0"/>
        <w:snapToGrid w:val="0"/>
        <w:spacing w:before="312" w:beforeLines="100" w:after="156" w:afterLines="50" w:line="240" w:lineRule="auto"/>
        <w:ind w:firstLine="1280" w:firstLineChars="40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李雨恒</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王冰铎</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13B7995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            </w:t>
      </w:r>
    </w:p>
    <w:p w14:paraId="41C15B6D">
      <w:pPr>
        <w:spacing w:beforeLines="100" w:afterLines="50" w:line="360" w:lineRule="auto"/>
        <w:rPr>
          <w:rFonts w:cs="Times New Roman"/>
          <w:color w:val="auto"/>
          <w:sz w:val="32"/>
          <w:szCs w:val="32"/>
          <w:highlight w:val="none"/>
        </w:rPr>
      </w:pPr>
      <w:bookmarkStart w:id="0" w:name="_Toc30766"/>
      <w:bookmarkStart w:id="1" w:name="_Toc12733"/>
      <w:bookmarkStart w:id="2" w:name="_Toc4414"/>
    </w:p>
    <w:p w14:paraId="0839CDA2">
      <w:pPr>
        <w:spacing w:beforeLines="100" w:afterLines="50" w:line="360" w:lineRule="auto"/>
        <w:rPr>
          <w:rFonts w:cs="Times New Roman"/>
          <w:color w:val="auto"/>
          <w:sz w:val="32"/>
          <w:szCs w:val="32"/>
          <w:highlight w:val="none"/>
        </w:rPr>
      </w:pPr>
    </w:p>
    <w:p w14:paraId="7D911471">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教务处编</w:t>
      </w:r>
      <w:bookmarkEnd w:id="0"/>
      <w:bookmarkEnd w:id="1"/>
      <w:bookmarkEnd w:id="2"/>
    </w:p>
    <w:p w14:paraId="01FBF285">
      <w:pPr>
        <w:spacing w:beforeLines="100" w:afterLines="50" w:line="360" w:lineRule="auto"/>
        <w:ind w:left="0" w:leftChars="0" w:firstLine="0" w:firstLineChars="0"/>
        <w:jc w:val="center"/>
        <w:outlineLvl w:val="0"/>
        <w:rPr>
          <w:rFonts w:ascii="Times New Roman" w:hAnsi="Times New Roman" w:cs="Times New Roman"/>
          <w:b/>
          <w:bCs/>
          <w:color w:val="auto"/>
          <w:sz w:val="32"/>
          <w:szCs w:val="32"/>
          <w:highlight w:val="none"/>
        </w:rPr>
      </w:pPr>
      <w:bookmarkStart w:id="3" w:name="_Toc10876"/>
      <w:bookmarkStart w:id="4" w:name="_Toc5144"/>
      <w:r>
        <w:rPr>
          <w:rFonts w:hint="eastAsia" w:ascii="Times New Roman" w:hAnsi="Times New Roman"/>
          <w:b/>
          <w:bCs/>
          <w:color w:val="auto"/>
          <w:sz w:val="32"/>
          <w:szCs w:val="32"/>
          <w:highlight w:val="none"/>
        </w:rPr>
        <w:t>二〇</w:t>
      </w:r>
      <w:r>
        <w:rPr>
          <w:rFonts w:hint="eastAsia" w:ascii="Times New Roman" w:hAnsi="Times New Roman"/>
          <w:b/>
          <w:bCs/>
          <w:color w:val="auto"/>
          <w:sz w:val="32"/>
          <w:szCs w:val="32"/>
          <w:highlight w:val="none"/>
          <w:lang w:eastAsia="zh-CN"/>
        </w:rPr>
        <w:t>二</w:t>
      </w:r>
      <w:r>
        <w:rPr>
          <w:rFonts w:hint="eastAsia" w:ascii="Times New Roman" w:hAnsi="Times New Roman"/>
          <w:b/>
          <w:bCs/>
          <w:color w:val="auto"/>
          <w:sz w:val="32"/>
          <w:szCs w:val="32"/>
          <w:highlight w:val="none"/>
          <w:lang w:val="en-US" w:eastAsia="zh-CN"/>
        </w:rPr>
        <w:t>五</w:t>
      </w:r>
      <w:r>
        <w:rPr>
          <w:rFonts w:hint="eastAsia" w:ascii="Times New Roman" w:hAnsi="Times New Roman"/>
          <w:b/>
          <w:bCs/>
          <w:color w:val="auto"/>
          <w:sz w:val="32"/>
          <w:szCs w:val="32"/>
          <w:highlight w:val="none"/>
        </w:rPr>
        <w:t>年</w:t>
      </w:r>
      <w:r>
        <w:rPr>
          <w:rFonts w:hint="eastAsia" w:ascii="Times New Roman" w:hAnsi="Times New Roman"/>
          <w:b/>
          <w:bCs/>
          <w:color w:val="auto"/>
          <w:sz w:val="32"/>
          <w:szCs w:val="32"/>
          <w:highlight w:val="none"/>
          <w:lang w:val="en-US" w:eastAsia="zh-CN"/>
        </w:rPr>
        <w:t>六</w:t>
      </w:r>
      <w:r>
        <w:rPr>
          <w:rFonts w:hint="eastAsia" w:ascii="Times New Roman" w:hAnsi="Times New Roman"/>
          <w:b/>
          <w:bCs/>
          <w:color w:val="auto"/>
          <w:sz w:val="32"/>
          <w:szCs w:val="32"/>
          <w:highlight w:val="none"/>
        </w:rPr>
        <w:t>月</w:t>
      </w:r>
      <w:bookmarkEnd w:id="3"/>
      <w:bookmarkEnd w:id="4"/>
    </w:p>
    <w:p w14:paraId="7DC0FFEE">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Times New Roman" w:hAnsi="Times New Roman"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6831DC5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宋体"/>
          <w:b/>
          <w:sz w:val="44"/>
          <w:szCs w:val="44"/>
          <w:lang w:val="en-US" w:eastAsia="zh-CN"/>
        </w:rPr>
      </w:pPr>
      <w:r>
        <w:rPr>
          <w:rFonts w:hint="eastAsia" w:ascii="Times New Roman" w:hAnsi="Times New Roman" w:eastAsia="宋体" w:cs="宋体"/>
          <w:b/>
          <w:sz w:val="44"/>
          <w:szCs w:val="44"/>
          <w:lang w:val="en-US" w:eastAsia="zh-CN"/>
        </w:rPr>
        <w:t>许昌陶瓷职业学院</w:t>
      </w:r>
    </w:p>
    <w:p w14:paraId="4B4565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sz w:val="44"/>
          <w:szCs w:val="44"/>
        </w:rPr>
      </w:pPr>
      <w:r>
        <w:rPr>
          <w:rFonts w:hint="eastAsia" w:ascii="Times New Roman" w:hAnsi="Times New Roman" w:eastAsia="宋体" w:cs="宋体"/>
          <w:b/>
          <w:sz w:val="44"/>
          <w:szCs w:val="44"/>
          <w:lang w:val="en-US" w:eastAsia="zh-CN"/>
        </w:rPr>
        <w:t>2025级</w:t>
      </w:r>
      <w:r>
        <w:rPr>
          <w:rFonts w:hint="eastAsia" w:ascii="Times New Roman" w:hAnsi="Times New Roman" w:cs="宋体"/>
          <w:b/>
          <w:sz w:val="44"/>
          <w:szCs w:val="44"/>
          <w:lang w:val="en-US" w:eastAsia="zh-CN"/>
        </w:rPr>
        <w:t>大数据技术</w:t>
      </w:r>
      <w:r>
        <w:rPr>
          <w:rFonts w:hint="eastAsia" w:ascii="Times New Roman" w:hAnsi="Times New Roman" w:eastAsia="宋体" w:cs="宋体"/>
          <w:b/>
          <w:sz w:val="44"/>
          <w:szCs w:val="44"/>
        </w:rPr>
        <w:t>专业人才培养方案</w:t>
      </w:r>
    </w:p>
    <w:p w14:paraId="7050BB6C">
      <w:pPr>
        <w:pStyle w:val="2"/>
        <w:bidi w:val="0"/>
        <w:rPr>
          <w:rFonts w:hint="eastAsia" w:ascii="Times New Roman" w:hAnsi="Times New Roman"/>
          <w:lang w:val="en-US" w:eastAsia="zh-CN"/>
        </w:rPr>
      </w:pPr>
      <w:bookmarkStart w:id="5" w:name="_Toc20535"/>
      <w:bookmarkStart w:id="6" w:name="_Toc31560"/>
      <w:bookmarkStart w:id="7" w:name="_Toc26091"/>
      <w:bookmarkStart w:id="8" w:name="_Toc364078377"/>
      <w:r>
        <w:rPr>
          <w:rFonts w:hint="eastAsia" w:ascii="Times New Roman" w:hAnsi="Times New Roman"/>
          <w:lang w:val="en-US" w:eastAsia="zh-CN"/>
        </w:rPr>
        <w:t>一、专业名称及专业代码</w:t>
      </w:r>
      <w:bookmarkEnd w:id="5"/>
      <w:bookmarkEnd w:id="6"/>
      <w:bookmarkEnd w:id="7"/>
    </w:p>
    <w:p w14:paraId="4566A3F3">
      <w:pPr>
        <w:keepNext w:val="0"/>
        <w:keepLines w:val="0"/>
        <w:pageBreakBefore w:val="0"/>
        <w:widowControl w:val="0"/>
        <w:kinsoku/>
        <w:wordWrap/>
        <w:overflowPunct/>
        <w:topLinePunct w:val="0"/>
        <w:autoSpaceDE/>
        <w:autoSpaceDN/>
        <w:bidi w:val="0"/>
        <w:adjustRightInd/>
        <w:snapToGrid w:val="0"/>
        <w:spacing w:line="360" w:lineRule="atLeast"/>
        <w:ind w:firstLine="420" w:firstLineChars="200"/>
        <w:textAlignment w:val="auto"/>
        <w:rPr>
          <w:rFonts w:hint="eastAsia" w:ascii="Times New Roman" w:hAnsi="Times New Roman" w:eastAsia="宋体" w:cs="宋体"/>
          <w:color w:val="000000" w:themeColor="text1"/>
          <w:highlight w:val="none"/>
          <w:lang w:val="en-US" w:eastAsia="zh-CN"/>
          <w14:textFill>
            <w14:solidFill>
              <w14:schemeClr w14:val="tx1"/>
            </w14:solidFill>
          </w14:textFill>
        </w:rPr>
      </w:pPr>
      <w:bookmarkStart w:id="9" w:name="_Toc15758"/>
      <w:bookmarkStart w:id="10" w:name="_Toc2265"/>
      <w:bookmarkStart w:id="11" w:name="_Toc18827"/>
      <w:r>
        <w:rPr>
          <w:rFonts w:hint="eastAsia" w:ascii="Times New Roman" w:hAnsi="Times New Roman" w:eastAsia="宋体" w:cs="宋体"/>
          <w:color w:val="000000" w:themeColor="text1"/>
          <w:highlight w:val="none"/>
          <w:lang w:val="en-US" w:eastAsia="zh-CN"/>
          <w14:textFill>
            <w14:solidFill>
              <w14:schemeClr w14:val="tx1"/>
            </w14:solidFill>
          </w14:textFill>
        </w:rPr>
        <w:t>专业名称：</w:t>
      </w:r>
      <w:r>
        <w:rPr>
          <w:rFonts w:hint="eastAsia" w:ascii="Times New Roman" w:hAnsi="Times New Roman" w:cs="宋体"/>
          <w:b w:val="0"/>
          <w:bCs/>
          <w:color w:val="000000" w:themeColor="text1"/>
          <w:lang w:val="en-US" w:eastAsia="zh-CN"/>
          <w14:textFill>
            <w14:solidFill>
              <w14:schemeClr w14:val="tx1"/>
            </w14:solidFill>
          </w14:textFill>
        </w:rPr>
        <w:t>大数据</w:t>
      </w:r>
      <w:r>
        <w:rPr>
          <w:rFonts w:hint="eastAsia" w:ascii="Times New Roman" w:hAnsi="Times New Roman" w:eastAsia="宋体" w:cs="宋体"/>
          <w:b w:val="0"/>
          <w:bCs/>
          <w:color w:val="000000" w:themeColor="text1"/>
          <w:lang w:val="en-US" w:eastAsia="zh-CN"/>
          <w14:textFill>
            <w14:solidFill>
              <w14:schemeClr w14:val="tx1"/>
            </w14:solidFill>
          </w14:textFill>
        </w:rPr>
        <w:t>技术</w:t>
      </w:r>
    </w:p>
    <w:p w14:paraId="2419B289">
      <w:pPr>
        <w:keepNext w:val="0"/>
        <w:keepLines w:val="0"/>
        <w:pageBreakBefore w:val="0"/>
        <w:widowControl/>
        <w:suppressLineNumbers w:val="0"/>
        <w:kinsoku/>
        <w:wordWrap/>
        <w:overflowPunct/>
        <w:topLinePunct w:val="0"/>
        <w:autoSpaceDE/>
        <w:autoSpaceDN/>
        <w:bidi w:val="0"/>
        <w:adjustRightInd/>
        <w:snapToGrid w:val="0"/>
        <w:spacing w:line="360" w:lineRule="atLeast"/>
        <w:ind w:firstLine="420" w:firstLineChars="200"/>
        <w:jc w:val="left"/>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ascii="Times New Roman" w:hAnsi="Times New Roman" w:eastAsia="宋体" w:cs="宋体"/>
          <w:color w:val="000000" w:themeColor="text1"/>
          <w:highlight w:val="none"/>
          <w:lang w:val="en-US" w:eastAsia="zh-CN"/>
          <w14:textFill>
            <w14:solidFill>
              <w14:schemeClr w14:val="tx1"/>
            </w14:solidFill>
          </w14:textFill>
        </w:rPr>
        <w:t>专业代码：</w:t>
      </w:r>
      <w:r>
        <w:rPr>
          <w:rFonts w:hint="default" w:ascii="Times New Roman" w:hAnsi="Times New Roman" w:cs="Times New Roman"/>
          <w:color w:val="000000" w:themeColor="text1"/>
          <w:highlight w:val="none"/>
          <w:lang w:val="en-US" w:eastAsia="zh-CN"/>
          <w14:textFill>
            <w14:solidFill>
              <w14:schemeClr w14:val="tx1"/>
            </w14:solidFill>
          </w14:textFill>
        </w:rPr>
        <w:t>510205</w:t>
      </w:r>
    </w:p>
    <w:p w14:paraId="0BA458B9">
      <w:pPr>
        <w:pStyle w:val="2"/>
        <w:bidi w:val="0"/>
        <w:rPr>
          <w:rFonts w:hint="eastAsia" w:ascii="Times New Roman" w:hAnsi="Times New Roman"/>
          <w:lang w:val="en-US" w:eastAsia="zh-CN"/>
        </w:rPr>
      </w:pPr>
      <w:r>
        <w:rPr>
          <w:rFonts w:hint="eastAsia" w:ascii="Times New Roman" w:hAnsi="Times New Roman"/>
          <w:lang w:val="en-US" w:eastAsia="zh-CN"/>
        </w:rPr>
        <w:t>二、入学要求</w:t>
      </w:r>
      <w:bookmarkEnd w:id="9"/>
      <w:bookmarkEnd w:id="10"/>
      <w:bookmarkEnd w:id="11"/>
    </w:p>
    <w:bookmarkEnd w:id="8"/>
    <w:p w14:paraId="59298BEB">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rPr>
        <w:t>中等职业学校毕业、普通高级中学毕业或具备同等学力</w:t>
      </w:r>
    </w:p>
    <w:p w14:paraId="5A3A81F4">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2" w:name="_Toc20700"/>
      <w:bookmarkStart w:id="13" w:name="_Toc21516"/>
      <w:bookmarkStart w:id="14" w:name="_Toc17378"/>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48712023">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ascii="Times New Roman" w:hAnsi="Times New Roman" w:eastAsia="宋体" w:cs="Times New Roman"/>
          <w:b w:val="0"/>
          <w:bCs/>
          <w:color w:val="000000"/>
          <w:kern w:val="2"/>
          <w:sz w:val="21"/>
          <w:szCs w:val="21"/>
          <w:highlight w:val="none"/>
          <w:lang w:val="en-US" w:eastAsia="zh-CN" w:bidi="ar-SA"/>
        </w:rPr>
        <w:t>三年</w:t>
      </w:r>
    </w:p>
    <w:p w14:paraId="0BB8F82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157" w:afterLines="50" w:line="360" w:lineRule="atLeast"/>
        <w:ind w:firstLine="482" w:firstLineChars="200"/>
        <w:textAlignment w:val="auto"/>
        <w:rPr>
          <w:rFonts w:hint="eastAsia" w:ascii="Times New Roman" w:hAnsi="Times New Roman" w:eastAsia="宋体" w:cs="宋体"/>
          <w:color w:val="000000"/>
          <w:lang w:val="en-US" w:eastAsia="zh-CN"/>
        </w:rPr>
      </w:pPr>
      <w:bookmarkStart w:id="15" w:name="_Toc3032"/>
      <w:bookmarkStart w:id="16" w:name="_Toc623"/>
      <w:bookmarkStart w:id="17" w:name="_Toc9441"/>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4"/>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2FC05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61381F78">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0CF69EBB">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电子与信息大类（51）</w:t>
            </w:r>
          </w:p>
        </w:tc>
      </w:tr>
      <w:tr w14:paraId="15D28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0553BE25">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1BB5F1AD">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计算机类（5102）</w:t>
            </w:r>
          </w:p>
        </w:tc>
      </w:tr>
      <w:tr w14:paraId="4612D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19330FA4">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166AF7D7">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lang w:eastAsia="zh-CN"/>
              </w:rPr>
            </w:pPr>
            <w:r>
              <w:rPr>
                <w:rFonts w:hint="eastAsia" w:ascii="Times New Roman" w:hAnsi="Times New Roman" w:eastAsia="宋体" w:cs="宋体"/>
                <w:sz w:val="18"/>
                <w:szCs w:val="18"/>
                <w:lang w:eastAsia="zh-CN"/>
              </w:rPr>
              <w:t>互联网和相关服务（64）</w:t>
            </w:r>
            <w:r>
              <w:rPr>
                <w:rFonts w:hint="eastAsia" w:ascii="Times New Roman" w:hAnsi="Times New Roman" w:cs="宋体"/>
                <w:sz w:val="18"/>
                <w:szCs w:val="18"/>
                <w:lang w:eastAsia="zh-CN"/>
              </w:rPr>
              <w:t>、</w:t>
            </w:r>
            <w:r>
              <w:rPr>
                <w:rFonts w:hint="eastAsia" w:ascii="Times New Roman" w:hAnsi="Times New Roman" w:eastAsia="宋体" w:cs="宋体"/>
                <w:sz w:val="18"/>
                <w:szCs w:val="18"/>
                <w:lang w:eastAsia="zh-CN"/>
              </w:rPr>
              <w:t>软件和信息技术服务业（65）</w:t>
            </w:r>
          </w:p>
        </w:tc>
      </w:tr>
      <w:tr w14:paraId="33BB2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DD129AD">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53FF39A4">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大数据工程技术人员（2-02-38-03）</w:t>
            </w:r>
          </w:p>
          <w:p w14:paraId="3062EBA5">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数据分析处理工程技术人员（2-02-30-09）</w:t>
            </w:r>
          </w:p>
          <w:p w14:paraId="0FFA9687">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信息系统运行维护工程技术人员（2-02-10-08）</w:t>
            </w:r>
          </w:p>
        </w:tc>
      </w:tr>
      <w:tr w14:paraId="1E4FF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5A89C01C">
            <w:pPr>
              <w:keepNext w:val="0"/>
              <w:keepLines w:val="0"/>
              <w:pageBreakBefore w:val="0"/>
              <w:widowControl w:val="0"/>
              <w:kinsoku/>
              <w:wordWrap/>
              <w:overflowPunct/>
              <w:topLinePunct w:val="0"/>
              <w:autoSpaceDE/>
              <w:autoSpaceDN/>
              <w:bidi w:val="0"/>
              <w:adjustRightInd/>
              <w:snapToGrid w:val="0"/>
              <w:spacing w:line="360" w:lineRule="atLeast"/>
              <w:ind w:firstLine="0" w:firstLineChars="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主要岗位（群）或技术领域</w:t>
            </w:r>
          </w:p>
        </w:tc>
        <w:tc>
          <w:tcPr>
            <w:tcW w:w="6061" w:type="dxa"/>
            <w:tcBorders>
              <w:top w:val="single" w:color="auto" w:sz="4" w:space="0"/>
              <w:left w:val="single" w:color="auto" w:sz="4" w:space="0"/>
              <w:bottom w:val="single" w:color="auto" w:sz="4" w:space="0"/>
              <w:right w:val="single" w:color="auto" w:sz="4" w:space="0"/>
            </w:tcBorders>
            <w:vAlign w:val="center"/>
          </w:tcPr>
          <w:p w14:paraId="1125B855">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eastAsia="zh-CN"/>
              </w:rPr>
              <w:t>大数据实施与运维、数据采集与处理、大数据分析与可视化、大数据平台管理、大数据技术服务、大数据产品运营</w:t>
            </w:r>
            <w:r>
              <w:rPr>
                <w:rFonts w:hint="eastAsia" w:ascii="Times New Roman" w:hAnsi="Times New Roman" w:cs="宋体"/>
                <w:sz w:val="18"/>
                <w:szCs w:val="18"/>
                <w:lang w:val="en-US" w:eastAsia="zh-CN"/>
              </w:rPr>
              <w:t>等</w:t>
            </w:r>
          </w:p>
        </w:tc>
      </w:tr>
      <w:tr w14:paraId="75E9D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427828AB">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40B06C86">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lang w:eastAsia="zh-CN"/>
              </w:rPr>
            </w:pPr>
            <w:r>
              <w:rPr>
                <w:rFonts w:hint="eastAsia" w:ascii="Times New Roman" w:hAnsi="Times New Roman" w:eastAsia="宋体" w:cs="宋体"/>
                <w:sz w:val="18"/>
                <w:szCs w:val="18"/>
                <w:lang w:eastAsia="zh-CN"/>
              </w:rPr>
              <w:t>计算机技术与软件专业技术资格、大数据分析与应用、大数据应用</w:t>
            </w:r>
          </w:p>
          <w:p w14:paraId="12B39A23">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eastAsia="zh-CN"/>
              </w:rPr>
              <w:t>职业类证书开发（Python）、大数据工程化处理与应用</w:t>
            </w:r>
            <w:r>
              <w:rPr>
                <w:rFonts w:hint="eastAsia" w:ascii="Times New Roman" w:hAnsi="Times New Roman" w:cs="宋体"/>
                <w:sz w:val="18"/>
                <w:szCs w:val="18"/>
                <w:lang w:val="en-US" w:eastAsia="zh-CN"/>
              </w:rPr>
              <w:t>等</w:t>
            </w:r>
          </w:p>
        </w:tc>
      </w:tr>
    </w:tbl>
    <w:p w14:paraId="5B5373E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2999791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Times New Roman" w:hAnsi="Times New Roman" w:eastAsia="宋体" w:cs="宋体"/>
          <w:sz w:val="21"/>
          <w:szCs w:val="21"/>
        </w:rPr>
      </w:pPr>
      <w:bookmarkStart w:id="18" w:name="_Toc31884"/>
      <w:bookmarkStart w:id="19" w:name="_Toc8908"/>
      <w:r>
        <w:rPr>
          <w:rFonts w:hint="eastAsia" w:ascii="Times New Roman" w:hAnsi="Times New Roman" w:eastAsia="宋体" w:cs="宋体"/>
          <w:sz w:val="21"/>
          <w:szCs w:val="21"/>
        </w:rPr>
        <w:t>（一）培养目标</w:t>
      </w:r>
      <w:bookmarkEnd w:id="18"/>
      <w:bookmarkEnd w:id="19"/>
    </w:p>
    <w:p w14:paraId="1091E27C">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cs="宋体"/>
          <w:lang w:val="en-US" w:eastAsia="zh-CN"/>
        </w:rPr>
      </w:pPr>
      <w:r>
        <w:rPr>
          <w:rFonts w:hint="eastAsia" w:ascii="Times New Roman" w:hAnsi="Times New Roman"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互联网和相关服务等行业的大数据工程技术人员、数据分析处理工程技术人员、信息系统运行维护工程技术人员等职业，能够从事大数据实施与运维、数据采集与处理、大数据分析与可视化、大数据平台管理、大数据技术服务、大数据产品运营等工作的高技能人才</w:t>
      </w:r>
      <w:r>
        <w:rPr>
          <w:rFonts w:hint="eastAsia" w:ascii="Times New Roman" w:hAnsi="Times New Roman" w:cs="宋体"/>
          <w:lang w:val="en-US" w:eastAsia="zh-CN"/>
        </w:rPr>
        <w:t>。</w:t>
      </w:r>
    </w:p>
    <w:p w14:paraId="44AC7EB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cs="宋体"/>
          <w:lang w:val="en-US" w:eastAsia="zh-CN"/>
        </w:rPr>
      </w:pPr>
      <w:r>
        <w:rPr>
          <w:rFonts w:hint="eastAsia" w:ascii="Times New Roman" w:hAnsi="Times New Roman" w:cs="宋体"/>
          <w:lang w:val="en-US" w:eastAsia="zh-CN"/>
        </w:rPr>
        <w:br w:type="page"/>
      </w:r>
    </w:p>
    <w:p w14:paraId="10AF4B9B">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Times New Roman" w:hAnsi="Times New Roman" w:eastAsia="宋体" w:cs="宋体"/>
          <w:sz w:val="21"/>
          <w:szCs w:val="21"/>
        </w:rPr>
      </w:pPr>
      <w:bookmarkStart w:id="20" w:name="_Toc25925"/>
      <w:bookmarkStart w:id="21" w:name="_Toc7335"/>
      <w:r>
        <w:rPr>
          <w:rFonts w:hint="eastAsia" w:ascii="Times New Roman" w:hAnsi="Times New Roman" w:eastAsia="宋体" w:cs="宋体"/>
          <w:sz w:val="21"/>
          <w:szCs w:val="21"/>
          <w:lang w:val="en-US" w:eastAsia="zh-CN"/>
        </w:rPr>
        <w:t>（二）</w:t>
      </w:r>
      <w:r>
        <w:rPr>
          <w:rFonts w:hint="eastAsia" w:ascii="Times New Roman" w:hAnsi="Times New Roman" w:eastAsia="宋体" w:cs="宋体"/>
          <w:sz w:val="21"/>
          <w:szCs w:val="21"/>
        </w:rPr>
        <w:t>培养规格</w:t>
      </w:r>
      <w:bookmarkEnd w:id="20"/>
      <w:bookmarkEnd w:id="21"/>
    </w:p>
    <w:p w14:paraId="76E466E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本专业学生应在系统学习本专业知识并完成有关实习实训基础上，全面提升知识、能力、素质，掌握并实际运用岗位（群）需要的专业核心技术技能，实现德智体美劳全面发展，总体上须达到以下要求：</w:t>
      </w:r>
    </w:p>
    <w:p w14:paraId="1CC8D7E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1.</w:t>
      </w:r>
      <w:r>
        <w:rPr>
          <w:rFonts w:hint="eastAsia" w:ascii="Times New Roman" w:hAnsi="Times New Roman" w:eastAsia="宋体" w:cs="宋体"/>
          <w:lang w:val="en-US" w:eastAsia="zh-CN"/>
        </w:rPr>
        <w:t>坚定拥护中国共产党领导和中国特色社会主义制度，以习近平新时代中国特色社会主义思想为指导，践行社会主义核心价值观，具有坚定的理想信念、深厚的爱国情感和中华民族自豪感；</w:t>
      </w:r>
    </w:p>
    <w:p w14:paraId="193F195B">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2.</w:t>
      </w:r>
      <w:r>
        <w:rPr>
          <w:rFonts w:hint="eastAsia" w:ascii="Times New Roman" w:hAnsi="Times New Roman" w:eastAsia="宋体" w:cs="宋体"/>
          <w:lang w:val="en-US" w:eastAsia="zh-CN"/>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12B7BED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3.</w:t>
      </w:r>
      <w:r>
        <w:rPr>
          <w:rFonts w:hint="eastAsia" w:ascii="Times New Roman" w:hAnsi="Times New Roman" w:eastAsia="宋体" w:cs="宋体"/>
          <w:lang w:val="en-US" w:eastAsia="zh-CN"/>
        </w:rPr>
        <w:t>掌握支撑本专业学习和可持续发展必备的语文、数学、外语（英语等）、信息技术等文化基础知识，具有良好的人文素养与科学素养，具备职业生涯规划能力；</w:t>
      </w:r>
    </w:p>
    <w:p w14:paraId="6A917AC5">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4.</w:t>
      </w:r>
      <w:r>
        <w:rPr>
          <w:rFonts w:hint="eastAsia" w:ascii="Times New Roman" w:hAnsi="Times New Roman" w:eastAsia="宋体" w:cs="宋体"/>
          <w:lang w:val="en-US" w:eastAsia="zh-CN"/>
        </w:rPr>
        <w:t>具有良好的语言表达能力、文字表达能力、沟通合作能力，具有较强的集体意识和团队合作意识，学习 1 门外语并结合本专业加以运用；</w:t>
      </w:r>
    </w:p>
    <w:p w14:paraId="5CAFF89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5.</w:t>
      </w:r>
      <w:r>
        <w:rPr>
          <w:rFonts w:hint="eastAsia" w:ascii="Times New Roman" w:hAnsi="Times New Roman" w:eastAsia="宋体" w:cs="宋体"/>
          <w:lang w:val="en-US" w:eastAsia="zh-CN"/>
        </w:rPr>
        <w:t>掌握数据库基本原理、程序设计、操作系统原理、计算机网络、云计算等方面的专业基础理论知识；</w:t>
      </w:r>
    </w:p>
    <w:p w14:paraId="2450B27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6.</w:t>
      </w:r>
      <w:r>
        <w:rPr>
          <w:rFonts w:hint="eastAsia" w:ascii="Times New Roman" w:hAnsi="Times New Roman" w:eastAsia="宋体" w:cs="宋体"/>
          <w:lang w:val="en-US" w:eastAsia="zh-CN"/>
        </w:rPr>
        <w:t>掌握大数据采集与大数据预处理技术技能，具有数据采集、抽取、清洗、转换与加载等数据预处理能力；</w:t>
      </w:r>
    </w:p>
    <w:p w14:paraId="34BEE323">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7.</w:t>
      </w:r>
      <w:r>
        <w:rPr>
          <w:rFonts w:hint="eastAsia" w:ascii="Times New Roman" w:hAnsi="Times New Roman" w:eastAsia="宋体" w:cs="宋体"/>
          <w:lang w:val="en-US" w:eastAsia="zh-CN"/>
        </w:rPr>
        <w:t>掌握数据分析和数据挖掘应用技术技能，具有面向业务需求，基于大数据分析平台进行数据的批量、实时、分布式计算，基础特征工程处理以及机器学习算法应用等大数据分析挖掘实践能力；</w:t>
      </w:r>
    </w:p>
    <w:p w14:paraId="4A3F0A5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8.</w:t>
      </w:r>
      <w:r>
        <w:rPr>
          <w:rFonts w:hint="eastAsia" w:ascii="Times New Roman" w:hAnsi="Times New Roman" w:eastAsia="宋体" w:cs="宋体"/>
          <w:lang w:val="en-US" w:eastAsia="zh-CN"/>
        </w:rPr>
        <w:t>具有数据可视化设计和数据分析报告撰写能力，具有开发应用程序进行数据可视化展示、撰写数据可视化结果分析报告等实践能力；</w:t>
      </w:r>
    </w:p>
    <w:p w14:paraId="05104EF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9.</w:t>
      </w:r>
      <w:r>
        <w:rPr>
          <w:rFonts w:hint="eastAsia" w:ascii="Times New Roman" w:hAnsi="Times New Roman" w:eastAsia="宋体" w:cs="宋体"/>
          <w:lang w:val="en-US" w:eastAsia="zh-CN"/>
        </w:rPr>
        <w:t>掌握大数据平台搭建与部署、大数据平台运维、数据库开发与管理等技术技能，具有大数据平台部署与运维、数据库管理与应用、大数据技术服务、大数据产品运营、大数据平台管理等实践能力；</w:t>
      </w:r>
    </w:p>
    <w:p w14:paraId="7CC96A8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10.</w:t>
      </w:r>
      <w:r>
        <w:rPr>
          <w:rFonts w:hint="eastAsia" w:ascii="Times New Roman" w:hAnsi="Times New Roman" w:eastAsia="宋体" w:cs="宋体"/>
          <w:lang w:val="en-US" w:eastAsia="zh-CN"/>
        </w:rPr>
        <w:t>掌握信息技术基础知识，具有适应本行业数字化和智能化发展需求的数字技能；</w:t>
      </w:r>
    </w:p>
    <w:p w14:paraId="3335C5EA">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11.</w:t>
      </w:r>
      <w:r>
        <w:rPr>
          <w:rFonts w:hint="eastAsia" w:ascii="Times New Roman" w:hAnsi="Times New Roman" w:eastAsia="宋体" w:cs="宋体"/>
          <w:lang w:val="en-US" w:eastAsia="zh-CN"/>
        </w:rPr>
        <w:t>具有探究学习、终身学习和可持续发展的能力，具有整合知识和综合运用知识分析问题和解决问题的能力；</w:t>
      </w:r>
    </w:p>
    <w:p w14:paraId="5B110C9D">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12.</w:t>
      </w:r>
      <w:r>
        <w:rPr>
          <w:rFonts w:hint="eastAsia" w:ascii="Times New Roman" w:hAnsi="Times New Roman" w:eastAsia="宋体" w:cs="宋体"/>
          <w:lang w:val="en-US" w:eastAsia="zh-CN"/>
        </w:rPr>
        <w:t>掌握身体运动的基本知识和至少 1 项体育运动技能，达到国家大学生体质健康测试合格标准，养成良好的运动习惯、卫生习惯和行为习惯；具备一定的心理调适能力；</w:t>
      </w:r>
    </w:p>
    <w:p w14:paraId="7212DA63">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cs="宋体"/>
          <w:lang w:val="en-US" w:eastAsia="zh-CN"/>
        </w:rPr>
        <w:t>13.</w:t>
      </w:r>
      <w:r>
        <w:rPr>
          <w:rFonts w:hint="eastAsia" w:ascii="Times New Roman" w:hAnsi="Times New Roman" w:eastAsia="宋体" w:cs="宋体"/>
          <w:lang w:val="en-US" w:eastAsia="zh-CN"/>
        </w:rPr>
        <w:t>掌握必备的美育知识，具有一定的文化修养、审美能力，形成至少 1 项艺术特长或爱好；</w:t>
      </w:r>
    </w:p>
    <w:p w14:paraId="566BBF40">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Times New Roman"/>
          <w:b/>
          <w:kern w:val="2"/>
          <w:szCs w:val="24"/>
          <w:lang w:val="en-US" w:eastAsia="zh-CN" w:bidi="ar-SA"/>
        </w:rPr>
      </w:pPr>
      <w:r>
        <w:rPr>
          <w:rFonts w:hint="eastAsia" w:cs="宋体"/>
          <w:lang w:val="en-US" w:eastAsia="zh-CN"/>
        </w:rPr>
        <w:t>14.</w:t>
      </w:r>
      <w:r>
        <w:rPr>
          <w:rFonts w:hint="eastAsia" w:ascii="Times New Roman" w:hAnsi="Times New Roman" w:eastAsia="宋体" w:cs="宋体"/>
          <w:lang w:val="en-US" w:eastAsia="zh-CN"/>
        </w:rPr>
        <w:t>树立正确的劳动观，尊重劳动，热爱劳动，具备与本专业职业发展相适应的劳动素养，弘扬劳模精神、劳动精神、工匠精神，弘扬劳动光荣、技能宝贵、创造伟大的时代风尚</w:t>
      </w:r>
      <w:r>
        <w:rPr>
          <w:rFonts w:hint="eastAsia" w:ascii="Times New Roman" w:hAnsi="Times New Roman" w:eastAsia="宋体" w:cs="Times New Roman"/>
          <w:b/>
          <w:kern w:val="2"/>
          <w:szCs w:val="24"/>
          <w:lang w:val="en-US" w:eastAsia="zh-CN" w:bidi="ar-SA"/>
        </w:rPr>
        <w:t>。</w:t>
      </w:r>
    </w:p>
    <w:p w14:paraId="12C7FF7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15.具备全球视野与跨文化理解力，关注大数据技术国际发展趋势，尊重多元文化差异。</w:t>
      </w:r>
    </w:p>
    <w:p w14:paraId="2E49ADCB">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16.树立科技伦理与数据合规意识，熟悉《数据安全法》《个人信息保护法》等法规，能在数据全生命周期中识别并规避伦理风险，坚持“技术向善”原则。</w:t>
      </w:r>
    </w:p>
    <w:p w14:paraId="201E3AF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17.掌握项目管理基础知识，能进行需求拆解、进度控制、资源协调与风险预判，具备初步的大数据项目组织与交付能力。</w:t>
      </w:r>
    </w:p>
    <w:p w14:paraId="54278DB7">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18.具备绿色计算与“双碳”理念，了解节能数据中心、低碳算法设计、资源弹性伸缩等前沿实践。</w:t>
      </w:r>
    </w:p>
    <w:p w14:paraId="7508932F">
      <w:pPr>
        <w:keepNext w:val="0"/>
        <w:keepLines w:val="0"/>
        <w:pageBreakBefore w:val="0"/>
        <w:widowControl w:val="0"/>
        <w:kinsoku/>
        <w:wordWrap/>
        <w:overflowPunct/>
        <w:topLinePunct w:val="0"/>
        <w:autoSpaceDE/>
        <w:autoSpaceDN/>
        <w:bidi w:val="0"/>
        <w:adjustRightInd w:val="0"/>
        <w:snapToGrid w:val="0"/>
        <w:spacing w:line="360" w:lineRule="atLeast"/>
        <w:ind w:firstLine="422" w:firstLineChars="200"/>
        <w:textAlignment w:val="auto"/>
        <w:rPr>
          <w:rFonts w:hint="eastAsia" w:ascii="Times New Roman" w:hAnsi="Times New Roman"/>
          <w:lang w:val="en-US" w:eastAsia="zh-CN"/>
        </w:rPr>
      </w:pPr>
      <w:r>
        <w:rPr>
          <w:rFonts w:hint="eastAsia" w:ascii="Times New Roman" w:hAnsi="Times New Roman" w:eastAsia="宋体" w:cs="Times New Roman"/>
          <w:b/>
          <w:kern w:val="2"/>
          <w:szCs w:val="24"/>
          <w:lang w:val="en-US" w:eastAsia="zh-CN" w:bidi="ar-SA"/>
        </w:rPr>
        <w:br w:type="page"/>
      </w:r>
    </w:p>
    <w:p w14:paraId="55EC537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45E306D9">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（一）公共基础课程</w:t>
      </w:r>
    </w:p>
    <w:tbl>
      <w:tblPr>
        <w:tblStyle w:val="1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87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218F33D">
            <w:pPr>
              <w:keepNext w:val="0"/>
              <w:keepLines/>
              <w:pageBreakBefore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sz w:val="18"/>
                <w:szCs w:val="18"/>
                <w:highlight w:val="none"/>
                <w:vertAlign w:val="baseline"/>
                <w:lang w:val="en-US" w:eastAsia="zh-CN"/>
              </w:rPr>
            </w:pPr>
            <w:r>
              <w:rPr>
                <w:rFonts w:hint="eastAsia" w:ascii="Times New Roman" w:hAnsi="Times New Roman" w:eastAsia="宋体" w:cs="宋体"/>
                <w:b/>
                <w:bCs w:val="0"/>
                <w:sz w:val="18"/>
                <w:szCs w:val="18"/>
                <w:highlight w:val="none"/>
                <w:vertAlign w:val="baseline"/>
                <w:lang w:val="en-US" w:eastAsia="zh-CN"/>
              </w:rPr>
              <w:t>课程名称</w:t>
            </w:r>
          </w:p>
        </w:tc>
        <w:tc>
          <w:tcPr>
            <w:tcW w:w="2778" w:type="dxa"/>
            <w:noWrap w:val="0"/>
            <w:vAlign w:val="center"/>
          </w:tcPr>
          <w:p w14:paraId="134E8BC7">
            <w:pPr>
              <w:keepNext w:val="0"/>
              <w:keepLines/>
              <w:pageBreakBefore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sz w:val="18"/>
                <w:szCs w:val="18"/>
                <w:highlight w:val="none"/>
                <w:vertAlign w:val="baseline"/>
                <w:lang w:val="en-US" w:eastAsia="zh-CN"/>
              </w:rPr>
            </w:pPr>
            <w:r>
              <w:rPr>
                <w:rFonts w:hint="eastAsia" w:ascii="Times New Roman" w:hAnsi="Times New Roman" w:eastAsia="宋体" w:cs="宋体"/>
                <w:b/>
                <w:bCs w:val="0"/>
                <w:sz w:val="18"/>
                <w:szCs w:val="18"/>
                <w:highlight w:val="none"/>
                <w:vertAlign w:val="baseline"/>
                <w:lang w:val="en-US" w:eastAsia="zh-CN"/>
              </w:rPr>
              <w:t>课程目标</w:t>
            </w:r>
          </w:p>
        </w:tc>
        <w:tc>
          <w:tcPr>
            <w:tcW w:w="2778" w:type="dxa"/>
            <w:noWrap w:val="0"/>
            <w:vAlign w:val="center"/>
          </w:tcPr>
          <w:p w14:paraId="626D6493">
            <w:pPr>
              <w:keepNext w:val="0"/>
              <w:keepLines/>
              <w:pageBreakBefore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sz w:val="18"/>
                <w:szCs w:val="18"/>
                <w:highlight w:val="none"/>
                <w:vertAlign w:val="baseline"/>
                <w:lang w:val="en-US" w:eastAsia="zh-CN"/>
              </w:rPr>
            </w:pPr>
            <w:r>
              <w:rPr>
                <w:rFonts w:hint="eastAsia" w:ascii="Times New Roman" w:hAnsi="Times New Roman" w:eastAsia="宋体" w:cs="宋体"/>
                <w:b/>
                <w:bCs w:val="0"/>
                <w:sz w:val="18"/>
                <w:szCs w:val="18"/>
                <w:highlight w:val="none"/>
                <w:vertAlign w:val="baseline"/>
                <w:lang w:val="en-US" w:eastAsia="zh-CN"/>
              </w:rPr>
              <w:t>主要内容</w:t>
            </w:r>
          </w:p>
        </w:tc>
        <w:tc>
          <w:tcPr>
            <w:tcW w:w="2778" w:type="dxa"/>
            <w:noWrap w:val="0"/>
            <w:vAlign w:val="center"/>
          </w:tcPr>
          <w:p w14:paraId="534EBD9F">
            <w:pPr>
              <w:keepNext w:val="0"/>
              <w:keepLines/>
              <w:pageBreakBefore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sz w:val="18"/>
                <w:szCs w:val="18"/>
                <w:highlight w:val="none"/>
                <w:vertAlign w:val="baseline"/>
                <w:lang w:val="en-US" w:eastAsia="zh-CN"/>
              </w:rPr>
            </w:pPr>
            <w:r>
              <w:rPr>
                <w:rFonts w:hint="eastAsia" w:ascii="Times New Roman" w:hAnsi="Times New Roman" w:eastAsia="宋体" w:cs="宋体"/>
                <w:b/>
                <w:bCs w:val="0"/>
                <w:sz w:val="18"/>
                <w:szCs w:val="18"/>
                <w:highlight w:val="none"/>
                <w:vertAlign w:val="baseline"/>
                <w:lang w:val="en-US" w:eastAsia="zh-CN"/>
              </w:rPr>
              <w:t>教学要求</w:t>
            </w:r>
          </w:p>
        </w:tc>
      </w:tr>
      <w:tr w14:paraId="5FC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249640B">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bCs/>
                <w:color w:val="auto"/>
                <w:sz w:val="18"/>
                <w:szCs w:val="18"/>
                <w:highlight w:val="none"/>
              </w:rPr>
              <w:t>思想道德与法治</w:t>
            </w:r>
          </w:p>
        </w:tc>
        <w:tc>
          <w:tcPr>
            <w:tcW w:w="2778" w:type="dxa"/>
            <w:noWrap w:val="0"/>
            <w:vAlign w:val="top"/>
          </w:tcPr>
          <w:p w14:paraId="423C77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73B926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31F97E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p>
        </w:tc>
        <w:tc>
          <w:tcPr>
            <w:tcW w:w="2778" w:type="dxa"/>
            <w:noWrap w:val="0"/>
            <w:vAlign w:val="top"/>
          </w:tcPr>
          <w:p w14:paraId="530659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（1）中国特色社会主义进入了新时代。</w:t>
            </w:r>
          </w:p>
          <w:p w14:paraId="21FB71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（2）人生观的基本内涵以及对人生的重要作用，树立为人民服务的人生观。</w:t>
            </w:r>
          </w:p>
          <w:p w14:paraId="7A6BC1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（3）理想信念对大学生成才的重要意义，树立马克思主义的崇高的理想信念。</w:t>
            </w:r>
          </w:p>
          <w:p w14:paraId="52CBAE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（4）中国精神的科学内涵，实现中国梦必须弘扬中国精神。</w:t>
            </w:r>
          </w:p>
          <w:p w14:paraId="7E464A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（5）社会主义核心价值观的基本内容、历史底蕴、现实基础、道义力量。</w:t>
            </w:r>
          </w:p>
          <w:p w14:paraId="7C09C6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（6）道德的历史演变、功能、作用和中华民族优良道德传统、革命道德。</w:t>
            </w:r>
          </w:p>
          <w:p w14:paraId="07AC03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46026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（2）教学条件：多媒体教室和智慧校园平台。</w:t>
            </w:r>
          </w:p>
          <w:p w14:paraId="6B471E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DDBE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C7383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（5）评价建议：采取平时检测（30%）+阶段考核（20%）+期末考试（50%）评定学习效果。</w:t>
            </w:r>
          </w:p>
        </w:tc>
      </w:tr>
      <w:tr w14:paraId="364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3DE42B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
                <w:bCs w:val="0"/>
                <w:color w:val="auto"/>
                <w:sz w:val="18"/>
                <w:szCs w:val="18"/>
                <w:highlight w:val="none"/>
              </w:rPr>
              <w:t>毛泽东思想和中国特色社会主义理论体系概论</w:t>
            </w:r>
          </w:p>
        </w:tc>
        <w:tc>
          <w:tcPr>
            <w:tcW w:w="2778" w:type="dxa"/>
            <w:noWrap w:val="0"/>
            <w:vAlign w:val="top"/>
          </w:tcPr>
          <w:p w14:paraId="2D1260A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6A89A0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（2）深刻理解马克思主义中国化的科学内涵和历史进程。</w:t>
            </w:r>
          </w:p>
          <w:p w14:paraId="1E5C924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92FE77A">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（4）引导学生运用马克思主义中国化的理论成果指导自己的学习与工作。</w:t>
            </w:r>
          </w:p>
          <w:p w14:paraId="04572218">
            <w:pPr>
              <w:keepNext w:val="0"/>
              <w:keepLines/>
              <w:pageBreakBefore w:val="0"/>
              <w:kinsoku/>
              <w:wordWrap/>
              <w:overflowPunct/>
              <w:topLinePunct w:val="0"/>
              <w:autoSpaceDE/>
              <w:autoSpaceDN/>
              <w:bidi w:val="0"/>
              <w:spacing w:line="360" w:lineRule="exact"/>
              <w:ind w:firstLine="360" w:firstLineChars="200"/>
              <w:textAlignment w:val="auto"/>
              <w:rPr>
                <w:rFonts w:hint="eastAsia" w:ascii="Times New Roman" w:hAnsi="Times New Roman" w:eastAsia="宋体" w:cs="宋体"/>
                <w:b w:val="0"/>
                <w:bCs/>
                <w:color w:val="auto"/>
                <w:kern w:val="2"/>
                <w:sz w:val="18"/>
                <w:szCs w:val="18"/>
                <w:highlight w:val="none"/>
                <w:lang w:val="en-US" w:eastAsia="zh-CN" w:bidi="ar-SA"/>
              </w:rPr>
            </w:pPr>
          </w:p>
        </w:tc>
        <w:tc>
          <w:tcPr>
            <w:tcW w:w="2778" w:type="dxa"/>
            <w:noWrap w:val="0"/>
            <w:vAlign w:val="top"/>
          </w:tcPr>
          <w:p w14:paraId="0C9E61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4AA21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41C2DC4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78548A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（4）以中国百年巨变为根据，全面展示中国化时代化马克思主义的实践逻辑。</w:t>
            </w:r>
          </w:p>
          <w:p w14:paraId="33DC0F4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569B407">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（2）教学条件：多媒体教室和智慧校园平台。</w:t>
            </w:r>
          </w:p>
          <w:p w14:paraId="7614B36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（4）教师要求：具有良好的思想品德、职业道德、责任意识和敬业精神。</w:t>
            </w:r>
          </w:p>
          <w:p w14:paraId="1E14392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（5）评价建议：采取平时检测（30%）+实践考核（20%）+期末考试（50%）评定学习效果。</w:t>
            </w:r>
          </w:p>
        </w:tc>
      </w:tr>
      <w:tr w14:paraId="3C4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29F4B7A">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Times New Roman" w:hAnsi="Times New Roman" w:eastAsia="宋体" w:cs="宋体"/>
                <w:b/>
                <w:bCs w:val="0"/>
                <w:color w:val="auto"/>
                <w:sz w:val="18"/>
                <w:szCs w:val="18"/>
                <w:highlight w:val="none"/>
              </w:rPr>
            </w:pPr>
            <w:r>
              <w:rPr>
                <w:rFonts w:hint="eastAsia" w:ascii="Times New Roman" w:hAnsi="Times New Roman" w:eastAsia="宋体" w:cs="宋体"/>
                <w:b/>
                <w:bCs w:val="0"/>
                <w:color w:val="auto"/>
                <w:sz w:val="18"/>
                <w:szCs w:val="18"/>
                <w:highlight w:val="none"/>
              </w:rPr>
              <w:t>习近平新时代中国特色社会主义思想概论</w:t>
            </w:r>
          </w:p>
          <w:p w14:paraId="1C5192F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Times New Roman" w:hAnsi="Times New Roman" w:eastAsia="宋体" w:cs="宋体"/>
                <w:b w:val="0"/>
                <w:bCs/>
                <w:color w:val="auto"/>
                <w:kern w:val="2"/>
                <w:sz w:val="18"/>
                <w:szCs w:val="18"/>
                <w:highlight w:val="none"/>
                <w:lang w:val="en-US" w:eastAsia="zh-CN" w:bidi="ar-SA"/>
              </w:rPr>
            </w:pPr>
          </w:p>
        </w:tc>
        <w:tc>
          <w:tcPr>
            <w:tcW w:w="2778" w:type="dxa"/>
            <w:noWrap w:val="0"/>
            <w:vAlign w:val="top"/>
          </w:tcPr>
          <w:p w14:paraId="088738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Times New Roman" w:hAnsi="Times New Roman" w:eastAsia="宋体" w:cs="宋体"/>
                <w:bCs/>
                <w:color w:val="auto"/>
                <w:sz w:val="18"/>
                <w:szCs w:val="18"/>
                <w:highlight w:val="none"/>
                <w:lang w:eastAsia="zh-CN"/>
              </w:rPr>
              <w:t>。</w:t>
            </w:r>
          </w:p>
          <w:p w14:paraId="0E1211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（2）引导大学生深刻领会习近平新时代中国特色社会主义思想的时代意义、理论意义、实践意义、世界意义</w:t>
            </w:r>
            <w:r>
              <w:rPr>
                <w:rFonts w:hint="eastAsia" w:ascii="Times New Roman" w:hAnsi="Times New Roman" w:eastAsia="宋体" w:cs="宋体"/>
                <w:bCs/>
                <w:color w:val="auto"/>
                <w:sz w:val="18"/>
                <w:szCs w:val="18"/>
                <w:highlight w:val="none"/>
                <w:lang w:eastAsia="zh-CN"/>
              </w:rPr>
              <w:t>。</w:t>
            </w:r>
          </w:p>
          <w:p w14:paraId="790F9B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（3）引导大学生全面了解习近平新时代中国特色社会主义思想中蕴含的</w:t>
            </w:r>
            <w:r>
              <w:rPr>
                <w:rFonts w:hint="eastAsia" w:ascii="Times New Roman" w:hAnsi="Times New Roman" w:eastAsia="宋体" w:cs="宋体"/>
                <w:bCs/>
                <w:color w:val="auto"/>
                <w:sz w:val="18"/>
                <w:szCs w:val="18"/>
                <w:highlight w:val="none"/>
                <w:lang w:val="en-US" w:eastAsia="zh-CN"/>
              </w:rPr>
              <w:t>人民至上、自信自立、守正创新、问题导向、系统观念、胸怀天下</w:t>
            </w:r>
            <w:r>
              <w:rPr>
                <w:rFonts w:hint="eastAsia" w:ascii="Times New Roman" w:hAnsi="Times New Roman" w:eastAsia="宋体" w:cs="宋体"/>
                <w:bCs/>
                <w:color w:val="auto"/>
                <w:sz w:val="18"/>
                <w:szCs w:val="18"/>
                <w:highlight w:val="none"/>
              </w:rPr>
              <w:t>等理论品格和</w:t>
            </w:r>
            <w:r>
              <w:rPr>
                <w:rFonts w:hint="eastAsia" w:ascii="Times New Roman" w:hAnsi="Times New Roman" w:eastAsia="宋体" w:cs="宋体"/>
                <w:bCs/>
                <w:color w:val="auto"/>
                <w:sz w:val="18"/>
                <w:szCs w:val="18"/>
                <w:highlight w:val="none"/>
                <w:lang w:val="en-US" w:eastAsia="zh-CN"/>
              </w:rPr>
              <w:t>鲜明特征</w:t>
            </w:r>
            <w:r>
              <w:rPr>
                <w:rFonts w:hint="eastAsia" w:ascii="Times New Roman" w:hAnsi="Times New Roman" w:eastAsia="宋体" w:cs="宋体"/>
                <w:bCs/>
                <w:color w:val="auto"/>
                <w:sz w:val="18"/>
                <w:szCs w:val="18"/>
                <w:highlight w:val="none"/>
                <w:lang w:eastAsia="zh-CN"/>
              </w:rPr>
              <w:t>。</w:t>
            </w:r>
          </w:p>
          <w:p w14:paraId="2A9F2F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（4）引导大学生深刻把握习近平新时代中国特色社会主义思想中贯穿的马克思主义立场、观点、方法</w:t>
            </w:r>
            <w:r>
              <w:rPr>
                <w:rFonts w:hint="eastAsia" w:ascii="Times New Roman" w:hAnsi="Times New Roman" w:eastAsia="宋体" w:cs="宋体"/>
                <w:bCs/>
                <w:color w:val="auto"/>
                <w:sz w:val="18"/>
                <w:szCs w:val="18"/>
                <w:highlight w:val="none"/>
                <w:lang w:eastAsia="zh-CN"/>
              </w:rPr>
              <w:t>。</w:t>
            </w:r>
          </w:p>
          <w:p w14:paraId="61A9A0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（1）习近平新时代中国特色社会主义思想</w:t>
            </w:r>
            <w:r>
              <w:rPr>
                <w:rFonts w:hint="eastAsia" w:ascii="Times New Roman" w:hAnsi="Times New Roman" w:eastAsia="宋体" w:cs="宋体"/>
                <w:bCs/>
                <w:color w:val="auto"/>
                <w:sz w:val="18"/>
                <w:szCs w:val="18"/>
                <w:highlight w:val="none"/>
                <w:lang w:val="en-US" w:eastAsia="zh-CN"/>
              </w:rPr>
              <w:t>的科学体系</w:t>
            </w:r>
            <w:r>
              <w:rPr>
                <w:rFonts w:hint="eastAsia" w:ascii="Times New Roman" w:hAnsi="Times New Roman" w:eastAsia="宋体" w:cs="宋体"/>
                <w:bCs/>
                <w:color w:val="auto"/>
                <w:sz w:val="18"/>
                <w:szCs w:val="18"/>
                <w:highlight w:val="none"/>
              </w:rPr>
              <w:t>及其历史地位</w:t>
            </w:r>
            <w:r>
              <w:rPr>
                <w:rFonts w:hint="eastAsia" w:ascii="Times New Roman" w:hAnsi="Times New Roman" w:eastAsia="宋体" w:cs="宋体"/>
                <w:bCs/>
                <w:color w:val="auto"/>
                <w:sz w:val="18"/>
                <w:szCs w:val="18"/>
                <w:highlight w:val="none"/>
                <w:lang w:eastAsia="zh-CN"/>
              </w:rPr>
              <w:t>。</w:t>
            </w:r>
          </w:p>
          <w:p w14:paraId="2BC17E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2</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以中国式现代化全面推进中华民族伟大复兴。</w:t>
            </w:r>
          </w:p>
          <w:p w14:paraId="1B1BED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3</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坚持党的全面领导</w:t>
            </w:r>
            <w:r>
              <w:rPr>
                <w:rFonts w:hint="eastAsia" w:ascii="Times New Roman" w:hAnsi="Times New Roman" w:eastAsia="宋体" w:cs="宋体"/>
                <w:bCs/>
                <w:color w:val="auto"/>
                <w:sz w:val="18"/>
                <w:szCs w:val="18"/>
                <w:highlight w:val="none"/>
                <w:lang w:eastAsia="zh-CN"/>
              </w:rPr>
              <w:t>。</w:t>
            </w:r>
          </w:p>
          <w:p w14:paraId="3D662D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4</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坚持以人民为中心。</w:t>
            </w:r>
          </w:p>
          <w:p w14:paraId="5E592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（5）全面深化改革</w:t>
            </w:r>
          </w:p>
          <w:p w14:paraId="2DEA42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4</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“五位一体”总体布局、“四个全面”战略布局</w:t>
            </w:r>
            <w:r>
              <w:rPr>
                <w:rFonts w:hint="eastAsia" w:ascii="Times New Roman" w:hAnsi="Times New Roman" w:eastAsia="宋体" w:cs="宋体"/>
                <w:bCs/>
                <w:color w:val="auto"/>
                <w:sz w:val="18"/>
                <w:szCs w:val="18"/>
                <w:highlight w:val="none"/>
                <w:lang w:eastAsia="zh-CN"/>
              </w:rPr>
              <w:t>。</w:t>
            </w:r>
          </w:p>
          <w:p w14:paraId="057A2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5）全面依法治国。</w:t>
            </w:r>
          </w:p>
          <w:p w14:paraId="24287D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（6）维护和塑造国家安全。</w:t>
            </w:r>
          </w:p>
          <w:p w14:paraId="03267C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6</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建设巩固国防和强大人民军队。</w:t>
            </w:r>
          </w:p>
          <w:p w14:paraId="5FDC38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7</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坚持“一国两制”和推进祖国完全统一。</w:t>
            </w:r>
          </w:p>
          <w:p w14:paraId="0EC34E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val="en-US" w:eastAsia="zh-CN"/>
              </w:rPr>
              <w:t>（8）</w:t>
            </w:r>
            <w:r>
              <w:rPr>
                <w:rFonts w:hint="eastAsia" w:ascii="Times New Roman" w:hAnsi="Times New Roman" w:eastAsia="宋体" w:cs="宋体"/>
                <w:bCs/>
                <w:color w:val="auto"/>
                <w:sz w:val="18"/>
                <w:szCs w:val="18"/>
                <w:highlight w:val="none"/>
              </w:rPr>
              <w:t>中国特色大国外交</w:t>
            </w:r>
            <w:r>
              <w:rPr>
                <w:rFonts w:hint="eastAsia" w:ascii="Times New Roman" w:hAnsi="Times New Roman" w:eastAsia="宋体" w:cs="宋体"/>
                <w:bCs/>
                <w:color w:val="auto"/>
                <w:sz w:val="18"/>
                <w:szCs w:val="18"/>
                <w:highlight w:val="none"/>
                <w:lang w:val="en-US" w:eastAsia="zh-CN"/>
              </w:rPr>
              <w:t>和推动</w:t>
            </w:r>
            <w:r>
              <w:rPr>
                <w:rFonts w:hint="eastAsia" w:ascii="Times New Roman" w:hAnsi="Times New Roman" w:eastAsia="宋体" w:cs="宋体"/>
                <w:bCs/>
                <w:color w:val="auto"/>
                <w:sz w:val="18"/>
                <w:szCs w:val="18"/>
                <w:highlight w:val="none"/>
              </w:rPr>
              <w:t>构建人类命运共同体</w:t>
            </w:r>
            <w:r>
              <w:rPr>
                <w:rFonts w:hint="eastAsia" w:ascii="Times New Roman" w:hAnsi="Times New Roman" w:eastAsia="宋体" w:cs="宋体"/>
                <w:bCs/>
                <w:color w:val="auto"/>
                <w:sz w:val="18"/>
                <w:szCs w:val="18"/>
                <w:highlight w:val="none"/>
                <w:lang w:eastAsia="zh-CN"/>
              </w:rPr>
              <w:t>。</w:t>
            </w:r>
          </w:p>
          <w:p w14:paraId="5BCF6E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p>
        </w:tc>
        <w:tc>
          <w:tcPr>
            <w:tcW w:w="2778" w:type="dxa"/>
            <w:noWrap w:val="0"/>
            <w:vAlign w:val="top"/>
          </w:tcPr>
          <w:p w14:paraId="204EBE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Times New Roman" w:hAnsi="Times New Roman" w:eastAsia="宋体" w:cs="宋体"/>
                <w:bCs/>
                <w:color w:val="auto"/>
                <w:sz w:val="18"/>
                <w:szCs w:val="18"/>
                <w:highlight w:val="none"/>
                <w:lang w:val="en-US" w:eastAsia="zh-CN"/>
              </w:rPr>
              <w:t>的</w:t>
            </w:r>
            <w:r>
              <w:rPr>
                <w:rFonts w:hint="eastAsia" w:ascii="Times New Roman" w:hAnsi="Times New Roman" w:eastAsia="宋体" w:cs="宋体"/>
                <w:bCs/>
                <w:color w:val="auto"/>
                <w:sz w:val="18"/>
                <w:szCs w:val="18"/>
                <w:highlight w:val="none"/>
              </w:rPr>
              <w:t>思想性、政治性、科学性、理论性、实践性</w:t>
            </w:r>
            <w:r>
              <w:rPr>
                <w:rFonts w:hint="eastAsia" w:ascii="Times New Roman" w:hAnsi="Times New Roman" w:eastAsia="宋体" w:cs="宋体"/>
                <w:bCs/>
                <w:color w:val="auto"/>
                <w:sz w:val="18"/>
                <w:szCs w:val="18"/>
                <w:highlight w:val="none"/>
                <w:lang w:eastAsia="zh-CN"/>
              </w:rPr>
              <w:t>。</w:t>
            </w:r>
          </w:p>
          <w:p w14:paraId="43CA57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（2）教学条件：多媒体教室和智慧校园平台</w:t>
            </w:r>
            <w:r>
              <w:rPr>
                <w:rFonts w:hint="eastAsia" w:ascii="Times New Roman" w:hAnsi="Times New Roman" w:eastAsia="宋体" w:cs="宋体"/>
                <w:bCs/>
                <w:color w:val="auto"/>
                <w:sz w:val="18"/>
                <w:szCs w:val="18"/>
                <w:highlight w:val="none"/>
                <w:lang w:eastAsia="zh-CN"/>
              </w:rPr>
              <w:t>。</w:t>
            </w:r>
          </w:p>
          <w:p w14:paraId="32A6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（3）教学方法：运用专题式教学、案例式教学等多种互动教学方法，将课堂教学和课内外实践相结合</w:t>
            </w:r>
            <w:r>
              <w:rPr>
                <w:rFonts w:hint="eastAsia" w:ascii="Times New Roman" w:hAnsi="Times New Roman" w:eastAsia="宋体" w:cs="宋体"/>
                <w:bCs/>
                <w:color w:val="auto"/>
                <w:sz w:val="18"/>
                <w:szCs w:val="18"/>
                <w:highlight w:val="none"/>
                <w:lang w:eastAsia="zh-CN"/>
              </w:rPr>
              <w:t>。</w:t>
            </w:r>
          </w:p>
          <w:p w14:paraId="3A9BE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（4）教师要求：关注党的最新理论成果、中央重大会议、时政热点等及时把最新的中央精神融入教学内容</w:t>
            </w:r>
            <w:r>
              <w:rPr>
                <w:rFonts w:hint="eastAsia" w:ascii="Times New Roman" w:hAnsi="Times New Roman" w:eastAsia="宋体" w:cs="宋体"/>
                <w:bCs/>
                <w:color w:val="auto"/>
                <w:sz w:val="18"/>
                <w:szCs w:val="18"/>
                <w:highlight w:val="none"/>
                <w:lang w:eastAsia="zh-CN"/>
              </w:rPr>
              <w:t>。</w:t>
            </w:r>
          </w:p>
          <w:p w14:paraId="01F13B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（5）评价建议：采取平时检测（</w:t>
            </w:r>
            <w:r>
              <w:rPr>
                <w:rFonts w:hint="eastAsia" w:ascii="Times New Roman" w:hAnsi="Times New Roman" w:eastAsia="宋体" w:cs="宋体"/>
                <w:bCs/>
                <w:color w:val="auto"/>
                <w:sz w:val="18"/>
                <w:szCs w:val="18"/>
                <w:highlight w:val="none"/>
                <w:lang w:val="en-US" w:eastAsia="zh-CN"/>
              </w:rPr>
              <w:t>30</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实践</w:t>
            </w:r>
            <w:r>
              <w:rPr>
                <w:rFonts w:hint="eastAsia" w:ascii="Times New Roman" w:hAnsi="Times New Roman" w:eastAsia="宋体" w:cs="宋体"/>
                <w:bCs/>
                <w:color w:val="auto"/>
                <w:sz w:val="18"/>
                <w:szCs w:val="18"/>
                <w:highlight w:val="none"/>
              </w:rPr>
              <w:t>考核（</w:t>
            </w:r>
            <w:r>
              <w:rPr>
                <w:rFonts w:hint="eastAsia" w:ascii="Times New Roman" w:hAnsi="Times New Roman" w:eastAsia="宋体" w:cs="宋体"/>
                <w:bCs/>
                <w:color w:val="auto"/>
                <w:sz w:val="18"/>
                <w:szCs w:val="18"/>
                <w:highlight w:val="none"/>
                <w:lang w:val="en-US" w:eastAsia="zh-CN"/>
              </w:rPr>
              <w:t>2</w:t>
            </w:r>
            <w:r>
              <w:rPr>
                <w:rFonts w:hint="eastAsia" w:ascii="Times New Roman" w:hAnsi="Times New Roman" w:eastAsia="宋体" w:cs="宋体"/>
                <w:bCs/>
                <w:color w:val="auto"/>
                <w:sz w:val="18"/>
                <w:szCs w:val="18"/>
                <w:highlight w:val="none"/>
              </w:rPr>
              <w:t>0%）+期末考试（50%）评定学习效果。</w:t>
            </w:r>
          </w:p>
        </w:tc>
      </w:tr>
      <w:tr w14:paraId="2B8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9FA2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Times New Roman" w:hAnsi="Times New Roman" w:eastAsia="宋体" w:cs="宋体"/>
                <w:b/>
                <w:bCs w:val="0"/>
                <w:color w:val="auto"/>
                <w:sz w:val="18"/>
                <w:szCs w:val="18"/>
                <w:highlight w:val="none"/>
              </w:rPr>
            </w:pPr>
            <w:r>
              <w:rPr>
                <w:rFonts w:hint="eastAsia" w:ascii="Times New Roman" w:hAnsi="Times New Roman" w:eastAsia="宋体" w:cs="宋体"/>
                <w:b/>
                <w:bCs w:val="0"/>
                <w:color w:val="auto"/>
                <w:sz w:val="18"/>
                <w:szCs w:val="18"/>
                <w:highlight w:val="none"/>
              </w:rPr>
              <w:t>形势与政策</w:t>
            </w:r>
          </w:p>
          <w:p w14:paraId="7F66F13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Times New Roman" w:hAnsi="Times New Roman" w:eastAsia="宋体" w:cs="宋体"/>
                <w:b/>
                <w:color w:val="auto"/>
                <w:kern w:val="2"/>
                <w:sz w:val="18"/>
                <w:szCs w:val="18"/>
                <w:highlight w:val="none"/>
                <w:lang w:val="en-US" w:eastAsia="zh-CN" w:bidi="ar-SA"/>
              </w:rPr>
            </w:pPr>
          </w:p>
        </w:tc>
        <w:tc>
          <w:tcPr>
            <w:tcW w:w="2778" w:type="dxa"/>
            <w:noWrap w:val="0"/>
            <w:vAlign w:val="top"/>
          </w:tcPr>
          <w:p w14:paraId="40164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Times New Roman" w:hAnsi="Times New Roman" w:eastAsia="宋体" w:cs="宋体"/>
                <w:bCs/>
                <w:color w:val="auto"/>
                <w:sz w:val="18"/>
                <w:szCs w:val="18"/>
                <w:highlight w:val="none"/>
                <w:lang w:eastAsia="zh-CN"/>
              </w:rPr>
              <w:t>。</w:t>
            </w:r>
          </w:p>
          <w:p w14:paraId="45CEC2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（2）帮助学生深入地学习和研究马克思主义中国化</w:t>
            </w:r>
            <w:r>
              <w:rPr>
                <w:rFonts w:hint="eastAsia" w:ascii="Times New Roman" w:hAnsi="Times New Roman" w:eastAsia="宋体" w:cs="宋体"/>
                <w:bCs/>
                <w:color w:val="auto"/>
                <w:sz w:val="18"/>
                <w:szCs w:val="18"/>
                <w:highlight w:val="none"/>
                <w:lang w:val="en-US" w:eastAsia="zh-CN"/>
              </w:rPr>
              <w:t>时代化</w:t>
            </w:r>
            <w:r>
              <w:rPr>
                <w:rFonts w:hint="eastAsia" w:ascii="Times New Roman" w:hAnsi="Times New Roman" w:eastAsia="宋体" w:cs="宋体"/>
                <w:bCs/>
                <w:color w:val="auto"/>
                <w:sz w:val="18"/>
                <w:szCs w:val="18"/>
                <w:highlight w:val="none"/>
              </w:rPr>
              <w:t>理论成果，培养学生理论联系实际的</w:t>
            </w:r>
            <w:r>
              <w:rPr>
                <w:rFonts w:hint="eastAsia" w:ascii="Times New Roman" w:hAnsi="Times New Roman" w:eastAsia="宋体" w:cs="宋体"/>
                <w:bCs/>
                <w:color w:val="auto"/>
                <w:sz w:val="18"/>
                <w:szCs w:val="18"/>
                <w:highlight w:val="none"/>
                <w:lang w:val="en-US" w:eastAsia="zh-CN"/>
              </w:rPr>
              <w:t>能力</w:t>
            </w:r>
            <w:r>
              <w:rPr>
                <w:rFonts w:hint="eastAsia" w:ascii="Times New Roman" w:hAnsi="Times New Roman"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Times New Roman" w:hAnsi="Times New Roman" w:eastAsia="宋体" w:cs="宋体"/>
                <w:bCs/>
                <w:color w:val="auto"/>
                <w:sz w:val="18"/>
                <w:szCs w:val="18"/>
                <w:highlight w:val="none"/>
                <w:lang w:eastAsia="zh-CN"/>
              </w:rPr>
              <w:t>。</w:t>
            </w:r>
          </w:p>
          <w:p w14:paraId="5CA5B7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2CCC08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7F2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Times New Roman" w:hAnsi="Times New Roman" w:eastAsia="宋体" w:cs="宋体"/>
                <w:bCs/>
                <w:color w:val="auto"/>
                <w:sz w:val="18"/>
                <w:szCs w:val="18"/>
                <w:highlight w:val="none"/>
                <w:lang w:val="en-US" w:eastAsia="zh-CN"/>
              </w:rPr>
              <w:t>的</w:t>
            </w:r>
            <w:r>
              <w:rPr>
                <w:rFonts w:hint="eastAsia" w:ascii="Times New Roman" w:hAnsi="Times New Roman" w:eastAsia="宋体" w:cs="宋体"/>
                <w:bCs/>
                <w:color w:val="auto"/>
                <w:sz w:val="18"/>
                <w:szCs w:val="18"/>
                <w:highlight w:val="none"/>
              </w:rPr>
              <w:t>思想性、政治性、科学性、理论性、实践性</w:t>
            </w:r>
            <w:r>
              <w:rPr>
                <w:rFonts w:hint="eastAsia" w:ascii="Times New Roman" w:hAnsi="Times New Roman" w:eastAsia="宋体" w:cs="宋体"/>
                <w:bCs/>
                <w:color w:val="auto"/>
                <w:sz w:val="18"/>
                <w:szCs w:val="18"/>
                <w:highlight w:val="none"/>
                <w:lang w:eastAsia="zh-CN"/>
              </w:rPr>
              <w:t>。</w:t>
            </w:r>
          </w:p>
          <w:p w14:paraId="2BB15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（2）教学条件：多媒体教室和智慧校园平台</w:t>
            </w:r>
            <w:r>
              <w:rPr>
                <w:rFonts w:hint="eastAsia" w:ascii="Times New Roman" w:hAnsi="Times New Roman" w:eastAsia="宋体" w:cs="宋体"/>
                <w:bCs/>
                <w:color w:val="auto"/>
                <w:sz w:val="18"/>
                <w:szCs w:val="18"/>
                <w:highlight w:val="none"/>
                <w:lang w:eastAsia="zh-CN"/>
              </w:rPr>
              <w:t>。</w:t>
            </w:r>
          </w:p>
          <w:p w14:paraId="3C84A8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（3）教学方法：运用专题式教学、案例式教学等多种互动教学方法，将课堂教学和课内外实践相结合</w:t>
            </w:r>
            <w:r>
              <w:rPr>
                <w:rFonts w:hint="eastAsia" w:ascii="Times New Roman" w:hAnsi="Times New Roman" w:eastAsia="宋体" w:cs="宋体"/>
                <w:bCs/>
                <w:color w:val="auto"/>
                <w:sz w:val="18"/>
                <w:szCs w:val="18"/>
                <w:highlight w:val="none"/>
                <w:lang w:eastAsia="zh-CN"/>
              </w:rPr>
              <w:t>。</w:t>
            </w:r>
          </w:p>
          <w:p w14:paraId="586D40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（4）教师要求：关注党的最新理论成果、中央重大会议、时政热点等</w:t>
            </w:r>
            <w:r>
              <w:rPr>
                <w:rFonts w:hint="eastAsia" w:ascii="Times New Roman" w:hAnsi="Times New Roman" w:eastAsia="宋体" w:cs="宋体"/>
                <w:bCs/>
                <w:color w:val="auto"/>
                <w:sz w:val="18"/>
                <w:szCs w:val="18"/>
                <w:highlight w:val="none"/>
                <w:lang w:val="en-US" w:eastAsia="zh-CN"/>
              </w:rPr>
              <w:t>信息，</w:t>
            </w:r>
            <w:r>
              <w:rPr>
                <w:rFonts w:hint="eastAsia" w:ascii="Times New Roman" w:hAnsi="Times New Roman" w:eastAsia="宋体" w:cs="宋体"/>
                <w:bCs/>
                <w:color w:val="auto"/>
                <w:sz w:val="18"/>
                <w:szCs w:val="18"/>
                <w:highlight w:val="none"/>
              </w:rPr>
              <w:t>及时把最新的中央精神融入教学内容</w:t>
            </w:r>
            <w:r>
              <w:rPr>
                <w:rFonts w:hint="eastAsia" w:ascii="Times New Roman" w:hAnsi="Times New Roman" w:eastAsia="宋体" w:cs="宋体"/>
                <w:bCs/>
                <w:color w:val="auto"/>
                <w:sz w:val="18"/>
                <w:szCs w:val="18"/>
                <w:highlight w:val="none"/>
                <w:lang w:eastAsia="zh-CN"/>
              </w:rPr>
              <w:t>。</w:t>
            </w:r>
          </w:p>
          <w:p w14:paraId="1B672C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（5）评价建议：采取平时检测（30%）+期末考查（70%）评定学习效果。</w:t>
            </w:r>
          </w:p>
        </w:tc>
      </w:tr>
      <w:tr w14:paraId="35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1D7F8F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val="0"/>
                <w:color w:val="auto"/>
                <w:sz w:val="18"/>
                <w:szCs w:val="18"/>
                <w:highlight w:val="none"/>
              </w:rPr>
            </w:pPr>
            <w:r>
              <w:rPr>
                <w:rFonts w:hint="eastAsia" w:ascii="Times New Roman" w:hAnsi="Times New Roman" w:eastAsia="宋体" w:cs="宋体"/>
                <w:b/>
                <w:bCs w:val="0"/>
                <w:color w:val="auto"/>
                <w:sz w:val="18"/>
                <w:szCs w:val="18"/>
                <w:highlight w:val="none"/>
                <w:lang w:val="en-US" w:eastAsia="zh-CN"/>
              </w:rPr>
              <w:t>大学</w:t>
            </w:r>
            <w:r>
              <w:rPr>
                <w:rFonts w:hint="eastAsia" w:ascii="Times New Roman" w:hAnsi="Times New Roman" w:eastAsia="宋体" w:cs="宋体"/>
                <w:b/>
                <w:bCs w:val="0"/>
                <w:color w:val="auto"/>
                <w:sz w:val="18"/>
                <w:szCs w:val="18"/>
                <w:highlight w:val="none"/>
              </w:rPr>
              <w:t>体育</w:t>
            </w:r>
          </w:p>
          <w:p w14:paraId="763561C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4ADE17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Times New Roman" w:hAnsi="Times New Roman" w:eastAsia="宋体" w:cs="宋体"/>
                <w:bCs/>
                <w:color w:val="auto"/>
                <w:sz w:val="18"/>
                <w:szCs w:val="18"/>
                <w:highlight w:val="none"/>
                <w:lang w:val="en-US" w:eastAsia="zh-CN"/>
              </w:rPr>
              <w:t>置</w:t>
            </w:r>
            <w:r>
              <w:rPr>
                <w:rFonts w:hint="eastAsia" w:ascii="Times New Roman" w:hAnsi="Times New Roman" w:eastAsia="宋体" w:cs="宋体"/>
                <w:bCs/>
                <w:color w:val="auto"/>
                <w:sz w:val="18"/>
                <w:szCs w:val="18"/>
                <w:highlight w:val="none"/>
              </w:rPr>
              <w:t xml:space="preserve">方法。 </w:t>
            </w:r>
          </w:p>
          <w:p w14:paraId="0211C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474E5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0487F46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（1）田径及身体素质练习：力量、速度、耐力、弹跳、协调、灵敏、柔韧等。</w:t>
            </w:r>
          </w:p>
          <w:p w14:paraId="278CDA4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（2）专项运动技能：田径、健美操、篮球、足球、排球、乒乓球、羽毛球、网球、跆拳道、武术、体育舞蹈等。</w:t>
            </w:r>
          </w:p>
          <w:p w14:paraId="6371914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（3）体质测试训练：跳远、坐位体前屈、仰卧起坐、引体向上、50米跑、肺活量、800/1000米跑等。</w:t>
            </w:r>
          </w:p>
          <w:p w14:paraId="0826220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（4）拓展模块：运动减脂、快意网球、体育与欣赏以及武术与健康、健身气功、太极拳等优秀传统文化项目。</w:t>
            </w:r>
          </w:p>
          <w:p w14:paraId="12D351C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（5）健康教育：体育保健、健康饮食、心理健康教育等。</w:t>
            </w:r>
          </w:p>
          <w:p w14:paraId="71E28453">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p>
          <w:p w14:paraId="345335C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477EA09B">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Times New Roman" w:hAnsi="Times New Roman" w:eastAsia="宋体" w:cs="宋体"/>
                <w:b w:val="0"/>
                <w:color w:val="auto"/>
                <w:sz w:val="18"/>
                <w:szCs w:val="18"/>
                <w:highlight w:val="none"/>
                <w:lang w:eastAsia="zh-CN"/>
              </w:rPr>
            </w:pPr>
            <w:r>
              <w:rPr>
                <w:rFonts w:hint="eastAsia" w:ascii="Times New Roman" w:hAnsi="Times New Roman"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Times New Roman" w:hAnsi="Times New Roman" w:eastAsia="宋体" w:cs="宋体"/>
                <w:b w:val="0"/>
                <w:color w:val="auto"/>
                <w:sz w:val="18"/>
                <w:szCs w:val="18"/>
                <w:highlight w:val="none"/>
                <w:lang w:eastAsia="zh-CN"/>
              </w:rPr>
              <w:t>。</w:t>
            </w:r>
          </w:p>
          <w:p w14:paraId="5C4EABB6">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bCs/>
                <w:color w:val="auto"/>
                <w:sz w:val="18"/>
                <w:szCs w:val="18"/>
                <w:highlight w:val="none"/>
              </w:rPr>
              <w:t>（2）</w:t>
            </w:r>
            <w:r>
              <w:rPr>
                <w:rFonts w:hint="eastAsia" w:ascii="Times New Roman" w:hAnsi="Times New Roman" w:eastAsia="宋体" w:cs="宋体"/>
                <w:b w:val="0"/>
                <w:color w:val="auto"/>
                <w:sz w:val="18"/>
                <w:szCs w:val="18"/>
                <w:highlight w:val="none"/>
              </w:rPr>
              <w:t>教学方法：运用目标教学法、游戏教学法及竞赛教学法，以“教会、勤练、常赛”为主导，提高学生的兴趣，激发学习的主动性。</w:t>
            </w:r>
          </w:p>
          <w:p w14:paraId="14BE88B7">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bCs/>
                <w:color w:val="auto"/>
                <w:sz w:val="18"/>
                <w:szCs w:val="18"/>
                <w:highlight w:val="none"/>
              </w:rPr>
              <w:t>（3）</w:t>
            </w:r>
            <w:r>
              <w:rPr>
                <w:rFonts w:hint="eastAsia" w:ascii="Times New Roman" w:hAnsi="Times New Roman" w:eastAsia="宋体" w:cs="宋体"/>
                <w:b w:val="0"/>
                <w:color w:val="auto"/>
                <w:sz w:val="18"/>
                <w:szCs w:val="18"/>
                <w:highlight w:val="none"/>
              </w:rPr>
              <w:t>教学条件：室外网球场、排球场、田径场等体育教学设施。</w:t>
            </w:r>
          </w:p>
          <w:p w14:paraId="5DFFCA5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1419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w:t>
            </w:r>
            <w:r>
              <w:rPr>
                <w:rFonts w:hint="eastAsia" w:ascii="Times New Roman" w:hAnsi="Times New Roman" w:eastAsia="宋体" w:cs="宋体"/>
                <w:color w:val="auto"/>
                <w:kern w:val="0"/>
                <w:sz w:val="18"/>
                <w:szCs w:val="18"/>
                <w:highlight w:val="none"/>
              </w:rPr>
              <w:t>评价建议：采取平时成绩（</w:t>
            </w:r>
            <w:r>
              <w:rPr>
                <w:rFonts w:hint="eastAsia" w:ascii="Times New Roman" w:hAnsi="Times New Roman" w:eastAsia="宋体" w:cs="宋体"/>
                <w:color w:val="auto"/>
                <w:kern w:val="0"/>
                <w:sz w:val="18"/>
                <w:szCs w:val="18"/>
                <w:highlight w:val="none"/>
                <w:lang w:val="en-US" w:eastAsia="zh-CN"/>
              </w:rPr>
              <w:t>40</w:t>
            </w: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学期末</w:t>
            </w:r>
            <w:r>
              <w:rPr>
                <w:rFonts w:hint="eastAsia" w:ascii="Times New Roman" w:hAnsi="Times New Roman" w:eastAsia="宋体" w:cs="宋体"/>
                <w:color w:val="auto"/>
                <w:kern w:val="0"/>
                <w:sz w:val="18"/>
                <w:szCs w:val="18"/>
                <w:highlight w:val="none"/>
              </w:rPr>
              <w:t>测试</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身体素质+专项技能</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6</w:t>
            </w:r>
            <w:r>
              <w:rPr>
                <w:rFonts w:hint="eastAsia" w:ascii="Times New Roman" w:hAnsi="Times New Roman" w:eastAsia="宋体" w:cs="宋体"/>
                <w:color w:val="auto"/>
                <w:kern w:val="0"/>
                <w:sz w:val="18"/>
                <w:szCs w:val="18"/>
                <w:highlight w:val="none"/>
              </w:rPr>
              <w:t>0%）来评定学习效果。</w:t>
            </w:r>
          </w:p>
          <w:p w14:paraId="3876F4D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p>
          <w:p w14:paraId="05C3B2A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bCs/>
                <w:color w:val="auto"/>
                <w:kern w:val="2"/>
                <w:sz w:val="18"/>
                <w:szCs w:val="18"/>
                <w:highlight w:val="none"/>
                <w:lang w:val="en-US" w:eastAsia="zh-CN" w:bidi="ar-SA"/>
              </w:rPr>
            </w:pPr>
          </w:p>
        </w:tc>
      </w:tr>
      <w:tr w14:paraId="589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B74B60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军事理论</w:t>
            </w:r>
          </w:p>
          <w:p w14:paraId="6A1203D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p>
        </w:tc>
        <w:tc>
          <w:tcPr>
            <w:tcW w:w="2778" w:type="dxa"/>
            <w:noWrap w:val="0"/>
            <w:vAlign w:val="top"/>
          </w:tcPr>
          <w:p w14:paraId="212E17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（1）提高学生的思想政治觉悟，激发爱国热情，增强国防观念和国家安全意识。</w:t>
            </w:r>
          </w:p>
          <w:p w14:paraId="2F1F4A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（2）进行爱国主义、集体主义和革命英雄主义教育，增强学生的组织纪律观念，培养艰苦奋斗的作风，提高学生的综合素质。</w:t>
            </w:r>
          </w:p>
          <w:p w14:paraId="78C1F2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了解世界主要国家军事力量及战略动向，增强学生忧患意识。</w:t>
            </w:r>
          </w:p>
          <w:p w14:paraId="0C0160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EDB61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（5）</w:t>
            </w:r>
            <w:r>
              <w:rPr>
                <w:rFonts w:hint="eastAsia" w:ascii="Times New Roman" w:hAnsi="Times New Roman"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7BD8B5F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（2）教学条件：多媒体教室、智慧校园平台和智慧树教学平台。</w:t>
            </w:r>
          </w:p>
          <w:p w14:paraId="16D230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bCs/>
                <w:color w:val="auto"/>
                <w:sz w:val="18"/>
                <w:szCs w:val="18"/>
                <w:highlight w:val="none"/>
              </w:rPr>
              <w:t>（3）教学方法：</w:t>
            </w:r>
            <w:r>
              <w:rPr>
                <w:rFonts w:hint="eastAsia" w:ascii="Times New Roman" w:hAnsi="Times New Roman" w:eastAsia="宋体" w:cs="宋体"/>
                <w:b w:val="0"/>
                <w:color w:val="auto"/>
                <w:sz w:val="18"/>
                <w:szCs w:val="18"/>
                <w:highlight w:val="none"/>
              </w:rPr>
              <w:t>互动式、典型性案例教学法；针对性、典型性战例教学法；个性化、多样化专题教学法；问题型、讨论型启发式教学法。</w:t>
            </w:r>
          </w:p>
          <w:p w14:paraId="7724B52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bCs/>
                <w:color w:val="auto"/>
                <w:sz w:val="18"/>
                <w:szCs w:val="18"/>
                <w:highlight w:val="none"/>
              </w:rPr>
              <w:t>（4）教师要求：政治立场坚定，要关注时政要闻及国家安全动态</w:t>
            </w:r>
            <w:r>
              <w:rPr>
                <w:rFonts w:hint="eastAsia" w:ascii="Times New Roman" w:hAnsi="Times New Roman" w:eastAsia="宋体" w:cs="宋体"/>
                <w:b w:val="0"/>
                <w:bCs/>
                <w:color w:val="auto"/>
                <w:sz w:val="18"/>
                <w:szCs w:val="18"/>
                <w:highlight w:val="none"/>
                <w:lang w:eastAsia="zh-CN"/>
              </w:rPr>
              <w:t>；</w:t>
            </w:r>
            <w:r>
              <w:rPr>
                <w:rFonts w:hint="eastAsia" w:ascii="Times New Roman" w:hAnsi="Times New Roman"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Times New Roman" w:hAnsi="Times New Roman" w:eastAsia="宋体" w:cs="宋体"/>
                <w:b w:val="0"/>
                <w:color w:val="auto"/>
                <w:sz w:val="18"/>
                <w:szCs w:val="18"/>
                <w:highlight w:val="none"/>
                <w:lang w:val="en-US" w:eastAsia="zh-CN"/>
              </w:rPr>
              <w:t>形成</w:t>
            </w:r>
            <w:r>
              <w:rPr>
                <w:rFonts w:hint="eastAsia" w:ascii="Times New Roman" w:hAnsi="Times New Roman" w:eastAsia="宋体" w:cs="宋体"/>
                <w:b w:val="0"/>
                <w:color w:val="auto"/>
                <w:sz w:val="18"/>
                <w:szCs w:val="18"/>
                <w:highlight w:val="none"/>
              </w:rPr>
              <w:t>正确的世界观、人生观、价值观。</w:t>
            </w:r>
          </w:p>
          <w:p w14:paraId="575204D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 w:val="0"/>
                <w:bCs/>
                <w:color w:val="auto"/>
                <w:sz w:val="18"/>
                <w:szCs w:val="18"/>
                <w:highlight w:val="none"/>
              </w:rPr>
              <w:t>（5）评价建议：采取平时考核（30%）+期末综合考核（70%）来评定学习效果。</w:t>
            </w:r>
          </w:p>
        </w:tc>
      </w:tr>
      <w:tr w14:paraId="6FB1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87146F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劳动教育与实践</w:t>
            </w:r>
          </w:p>
          <w:p w14:paraId="0020CEA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p>
        </w:tc>
        <w:tc>
          <w:tcPr>
            <w:tcW w:w="2778" w:type="dxa"/>
            <w:noWrap w:val="0"/>
            <w:vAlign w:val="top"/>
          </w:tcPr>
          <w:p w14:paraId="20BD40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（1）引导大学生理解和形成马克思主义劳动观，牢固树立劳动最光荣、劳动最崇高、劳动最伟大、劳动最美丽的观念。</w:t>
            </w:r>
          </w:p>
          <w:p w14:paraId="2F939F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（2）促使大学生形成良好的劳动习惯和积极的劳动态度，养成辛勤劳动、诚实劳动、创造性劳动的良好品格。</w:t>
            </w:r>
          </w:p>
          <w:p w14:paraId="0DF6EA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（3）提高大学生的劳动素养，帮助学生掌握基本的劳动知识和技能，使学生具备满足生存发展所需的基本劳动能力。</w:t>
            </w:r>
          </w:p>
          <w:p w14:paraId="14B30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8AFC87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E2BC92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本课程包含理论教学和实践教学两部分。</w:t>
            </w:r>
          </w:p>
          <w:p w14:paraId="4B628057">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（1）理论教学</w:t>
            </w:r>
          </w:p>
          <w:p w14:paraId="49BA667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模块一 劳动素养篇</w:t>
            </w:r>
            <w:r>
              <w:rPr>
                <w:rFonts w:hint="eastAsia" w:ascii="Times New Roman" w:hAnsi="Times New Roman" w:eastAsia="宋体" w:cs="宋体"/>
                <w:bCs/>
                <w:color w:val="auto"/>
                <w:sz w:val="18"/>
                <w:szCs w:val="18"/>
                <w:highlight w:val="none"/>
              </w:rPr>
              <w:tab/>
            </w:r>
          </w:p>
          <w:p w14:paraId="617531A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任务一：马克思主义劳动观</w:t>
            </w:r>
          </w:p>
          <w:p w14:paraId="48A01BE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任务二：崇尚劳动 热爱生活</w:t>
            </w:r>
          </w:p>
          <w:p w14:paraId="32AA0C35">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任务三：尊重劳动 塑造品质</w:t>
            </w:r>
          </w:p>
          <w:p w14:paraId="04C2E94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模块二 劳动技能篇</w:t>
            </w:r>
            <w:r>
              <w:rPr>
                <w:rFonts w:hint="eastAsia" w:ascii="Times New Roman" w:hAnsi="Times New Roman" w:eastAsia="宋体" w:cs="宋体"/>
                <w:bCs/>
                <w:color w:val="auto"/>
                <w:sz w:val="18"/>
                <w:szCs w:val="18"/>
                <w:highlight w:val="none"/>
              </w:rPr>
              <w:tab/>
            </w:r>
          </w:p>
          <w:p w14:paraId="36F0504B">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任务四：弘扬精神 传承发展</w:t>
            </w:r>
          </w:p>
          <w:p w14:paraId="445900B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任务五：职业体验 提升技能</w:t>
            </w:r>
          </w:p>
          <w:p w14:paraId="074000E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任务六：掌握技能 奉献社会</w:t>
            </w:r>
          </w:p>
          <w:p w14:paraId="5E941AD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模块三 劳动创造篇</w:t>
            </w:r>
          </w:p>
          <w:p w14:paraId="71E1CDF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任务七：社会服务 提升素养</w:t>
            </w:r>
          </w:p>
          <w:p w14:paraId="13EEFDC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任务八：遵章守纪 维护幸福</w:t>
            </w:r>
          </w:p>
          <w:p w14:paraId="43D5B609">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（2）实践教学</w:t>
            </w:r>
          </w:p>
          <w:p w14:paraId="2AF3012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模块一 专业特色劳动实践</w:t>
            </w:r>
          </w:p>
          <w:p w14:paraId="307DDCA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模块二 校园集体劳动实践</w:t>
            </w:r>
          </w:p>
          <w:p w14:paraId="2A50E34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模块三 撰写劳动实践报告</w:t>
            </w:r>
          </w:p>
        </w:tc>
        <w:tc>
          <w:tcPr>
            <w:tcW w:w="2778" w:type="dxa"/>
            <w:noWrap w:val="0"/>
            <w:vAlign w:val="top"/>
          </w:tcPr>
          <w:p w14:paraId="6DAEFF5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Times New Roman" w:hAnsi="Times New Roman" w:eastAsia="宋体" w:cs="宋体"/>
                <w:b w:val="0"/>
                <w:bCs/>
                <w:color w:val="auto"/>
                <w:sz w:val="18"/>
                <w:szCs w:val="18"/>
                <w:highlight w:val="none"/>
                <w:lang w:eastAsia="zh-CN"/>
              </w:rPr>
              <w:t>；</w:t>
            </w:r>
            <w:r>
              <w:rPr>
                <w:rFonts w:hint="eastAsia" w:ascii="Times New Roman" w:hAnsi="Times New Roman" w:eastAsia="宋体" w:cs="宋体"/>
                <w:b w:val="0"/>
                <w:bCs/>
                <w:color w:val="auto"/>
                <w:sz w:val="18"/>
                <w:szCs w:val="18"/>
                <w:highlight w:val="none"/>
              </w:rPr>
              <w:t>实践课教学，指导学生亲身参与实际的劳动实践活动或者完成具体的劳动项目，让学生学以致用，提升劳动素养。</w:t>
            </w:r>
          </w:p>
          <w:p w14:paraId="04AF3A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（2）教学方法：理论课采用讲解法、讨论法、实例分析法、课堂互动法等；实践课采用实践操作法、小组讨论法、导师指导法等。</w:t>
            </w:r>
          </w:p>
          <w:p w14:paraId="71D766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（3）教学条件：理论课依托多媒体教室和智慧校园平台开展教学；实践课依据课程内容为学生提供实际的劳动实践环境和设备。</w:t>
            </w:r>
          </w:p>
          <w:p w14:paraId="22C109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31AB6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（5）评价建议：理论课由教师根据学生的期末成绩、课堂表现、课堂互动和考勤情况综合评定，占期末总成绩的</w:t>
            </w:r>
            <w:r>
              <w:rPr>
                <w:rFonts w:hint="eastAsia" w:ascii="Times New Roman" w:hAnsi="Times New Roman" w:eastAsia="宋体" w:cs="宋体"/>
                <w:bCs/>
                <w:color w:val="auto"/>
                <w:sz w:val="18"/>
                <w:szCs w:val="18"/>
                <w:highlight w:val="none"/>
                <w:lang w:val="en-US" w:eastAsia="zh-CN"/>
              </w:rPr>
              <w:t>3</w:t>
            </w:r>
            <w:r>
              <w:rPr>
                <w:rFonts w:hint="eastAsia" w:ascii="Times New Roman" w:hAnsi="Times New Roman" w:eastAsia="宋体" w:cs="宋体"/>
                <w:bCs/>
                <w:color w:val="auto"/>
                <w:sz w:val="18"/>
                <w:szCs w:val="18"/>
                <w:highlight w:val="none"/>
              </w:rPr>
              <w:t>0%；实践课考核由专业特色劳动实践、校园集体劳动实践和劳动实践报告三部分构成，分别占总成绩的</w:t>
            </w:r>
            <w:r>
              <w:rPr>
                <w:rFonts w:hint="eastAsia" w:ascii="Times New Roman" w:hAnsi="Times New Roman" w:eastAsia="宋体" w:cs="宋体"/>
                <w:bCs/>
                <w:color w:val="auto"/>
                <w:sz w:val="18"/>
                <w:szCs w:val="18"/>
                <w:highlight w:val="none"/>
                <w:lang w:val="en-US" w:eastAsia="zh-CN"/>
              </w:rPr>
              <w:t>30</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30</w:t>
            </w:r>
            <w:r>
              <w:rPr>
                <w:rFonts w:hint="eastAsia" w:ascii="Times New Roman" w:hAnsi="Times New Roman" w:eastAsia="宋体" w:cs="宋体"/>
                <w:bCs/>
                <w:color w:val="auto"/>
                <w:sz w:val="18"/>
                <w:szCs w:val="18"/>
                <w:highlight w:val="none"/>
              </w:rPr>
              <w:t>%、1</w:t>
            </w:r>
            <w:r>
              <w:rPr>
                <w:rFonts w:hint="eastAsia" w:ascii="Times New Roman" w:hAnsi="Times New Roman" w:eastAsia="宋体" w:cs="宋体"/>
                <w:bCs/>
                <w:color w:val="auto"/>
                <w:sz w:val="18"/>
                <w:szCs w:val="18"/>
                <w:highlight w:val="none"/>
                <w:lang w:val="en-US" w:eastAsia="zh-CN"/>
              </w:rPr>
              <w:t>0</w:t>
            </w:r>
            <w:r>
              <w:rPr>
                <w:rFonts w:hint="eastAsia" w:ascii="Times New Roman" w:hAnsi="Times New Roman" w:eastAsia="宋体" w:cs="宋体"/>
                <w:bCs/>
                <w:color w:val="auto"/>
                <w:sz w:val="18"/>
                <w:szCs w:val="18"/>
                <w:highlight w:val="none"/>
              </w:rPr>
              <w:t>%，最终成绩占期末总成绩的</w:t>
            </w:r>
            <w:r>
              <w:rPr>
                <w:rFonts w:hint="eastAsia" w:ascii="Times New Roman" w:hAnsi="Times New Roman" w:eastAsia="宋体" w:cs="宋体"/>
                <w:bCs/>
                <w:color w:val="auto"/>
                <w:sz w:val="18"/>
                <w:szCs w:val="18"/>
                <w:highlight w:val="none"/>
                <w:lang w:val="en-US" w:eastAsia="zh-CN"/>
              </w:rPr>
              <w:t>70</w:t>
            </w:r>
            <w:r>
              <w:rPr>
                <w:rFonts w:hint="eastAsia" w:ascii="Times New Roman" w:hAnsi="Times New Roman" w:eastAsia="宋体" w:cs="宋体"/>
                <w:bCs/>
                <w:color w:val="auto"/>
                <w:sz w:val="18"/>
                <w:szCs w:val="18"/>
                <w:highlight w:val="none"/>
              </w:rPr>
              <w:t>%。</w:t>
            </w:r>
          </w:p>
        </w:tc>
      </w:tr>
      <w:tr w14:paraId="512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9944683">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
                <w:bCs w:val="0"/>
                <w:color w:val="auto"/>
                <w:sz w:val="18"/>
                <w:szCs w:val="18"/>
                <w:highlight w:val="none"/>
              </w:rPr>
              <w:t>大学生心理健康教育</w:t>
            </w:r>
          </w:p>
        </w:tc>
        <w:tc>
          <w:tcPr>
            <w:tcW w:w="2778" w:type="dxa"/>
            <w:noWrap w:val="0"/>
            <w:vAlign w:val="top"/>
          </w:tcPr>
          <w:p w14:paraId="389CCA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2EE241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8323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项目一 认识健康 </w:t>
            </w:r>
          </w:p>
          <w:p w14:paraId="1C124A6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认识心理健康</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认识大学生心理</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了解心理咨询</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 xml:space="preserve"> </w:t>
            </w:r>
          </w:p>
          <w:p w14:paraId="765BC15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项目二 健全人格 </w:t>
            </w:r>
          </w:p>
          <w:p w14:paraId="007005F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lang w:val="en-US" w:eastAsia="zh-CN"/>
              </w:rPr>
              <w:t>通过</w:t>
            </w:r>
            <w:r>
              <w:rPr>
                <w:rFonts w:hint="eastAsia" w:ascii="Times New Roman" w:hAnsi="Times New Roman" w:eastAsia="宋体" w:cs="宋体"/>
                <w:bCs/>
                <w:color w:val="auto"/>
                <w:sz w:val="18"/>
                <w:szCs w:val="18"/>
                <w:highlight w:val="none"/>
              </w:rPr>
              <w:t>认识自我</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悦纳</w:t>
            </w:r>
            <w:r>
              <w:rPr>
                <w:rFonts w:hint="eastAsia" w:ascii="Times New Roman" w:hAnsi="Times New Roman" w:eastAsia="宋体" w:cs="宋体"/>
                <w:bCs/>
                <w:color w:val="auto"/>
                <w:sz w:val="18"/>
                <w:szCs w:val="18"/>
                <w:highlight w:val="none"/>
                <w:lang w:val="en-US" w:eastAsia="zh-CN"/>
              </w:rPr>
              <w:t>自我、</w:t>
            </w:r>
            <w:r>
              <w:rPr>
                <w:rFonts w:hint="eastAsia" w:ascii="Times New Roman" w:hAnsi="Times New Roman" w:eastAsia="宋体" w:cs="宋体"/>
                <w:bCs/>
                <w:color w:val="auto"/>
                <w:sz w:val="18"/>
                <w:szCs w:val="18"/>
                <w:highlight w:val="none"/>
              </w:rPr>
              <w:t>成就自我</w:t>
            </w:r>
            <w:r>
              <w:rPr>
                <w:rFonts w:hint="eastAsia" w:ascii="Times New Roman" w:hAnsi="Times New Roman" w:eastAsia="宋体" w:cs="宋体"/>
                <w:bCs/>
                <w:color w:val="auto"/>
                <w:sz w:val="18"/>
                <w:szCs w:val="18"/>
                <w:highlight w:val="none"/>
                <w:lang w:val="en-US" w:eastAsia="zh-CN"/>
              </w:rPr>
              <w:t>进一步完善自我、健全人格。</w:t>
            </w:r>
            <w:r>
              <w:rPr>
                <w:rFonts w:hint="eastAsia" w:ascii="Times New Roman" w:hAnsi="Times New Roman" w:eastAsia="宋体" w:cs="宋体"/>
                <w:bCs/>
                <w:color w:val="auto"/>
                <w:sz w:val="18"/>
                <w:szCs w:val="18"/>
                <w:highlight w:val="none"/>
              </w:rPr>
              <w:t xml:space="preserve"> </w:t>
            </w:r>
          </w:p>
          <w:p w14:paraId="6E5B38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项目三 适应环境 </w:t>
            </w:r>
          </w:p>
          <w:p w14:paraId="07564B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val="en-US" w:eastAsia="zh-CN"/>
              </w:rPr>
              <w:t>熟悉</w:t>
            </w:r>
            <w:r>
              <w:rPr>
                <w:rFonts w:hint="eastAsia" w:ascii="Times New Roman" w:hAnsi="Times New Roman" w:eastAsia="宋体" w:cs="宋体"/>
                <w:bCs/>
                <w:color w:val="auto"/>
                <w:sz w:val="18"/>
                <w:szCs w:val="18"/>
                <w:highlight w:val="none"/>
              </w:rPr>
              <w:t>新环境新体验</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解读</w:t>
            </w:r>
            <w:r>
              <w:rPr>
                <w:rFonts w:hint="eastAsia" w:ascii="Times New Roman" w:hAnsi="Times New Roman" w:eastAsia="宋体" w:cs="宋体"/>
                <w:bCs/>
                <w:color w:val="auto"/>
                <w:sz w:val="18"/>
                <w:szCs w:val="18"/>
                <w:highlight w:val="none"/>
              </w:rPr>
              <w:t>新生活新困惑</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树立</w:t>
            </w:r>
            <w:r>
              <w:rPr>
                <w:rFonts w:hint="eastAsia" w:ascii="Times New Roman" w:hAnsi="Times New Roman" w:eastAsia="宋体" w:cs="宋体"/>
                <w:bCs/>
                <w:color w:val="auto"/>
                <w:sz w:val="18"/>
                <w:szCs w:val="18"/>
                <w:highlight w:val="none"/>
              </w:rPr>
              <w:t>新起点新目标</w:t>
            </w:r>
            <w:r>
              <w:rPr>
                <w:rFonts w:hint="eastAsia" w:ascii="Times New Roman" w:hAnsi="Times New Roman" w:eastAsia="宋体" w:cs="宋体"/>
                <w:bCs/>
                <w:color w:val="auto"/>
                <w:sz w:val="18"/>
                <w:szCs w:val="18"/>
                <w:highlight w:val="none"/>
                <w:lang w:eastAsia="zh-CN"/>
              </w:rPr>
              <w:t>。</w:t>
            </w:r>
          </w:p>
          <w:p w14:paraId="326D61D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项目四 管理情绪 </w:t>
            </w:r>
          </w:p>
          <w:p w14:paraId="7FA8538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透视情绪</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了解大学生情绪</w:t>
            </w:r>
            <w:r>
              <w:rPr>
                <w:rFonts w:hint="eastAsia" w:ascii="Times New Roman" w:hAnsi="Times New Roman" w:eastAsia="宋体" w:cs="宋体"/>
                <w:bCs/>
                <w:color w:val="auto"/>
                <w:sz w:val="18"/>
                <w:szCs w:val="18"/>
                <w:highlight w:val="none"/>
                <w:lang w:val="en-US" w:eastAsia="zh-CN"/>
              </w:rPr>
              <w:t>的特点及不良情绪的原因，掌握管理情绪的方法。</w:t>
            </w:r>
            <w:r>
              <w:rPr>
                <w:rFonts w:hint="eastAsia" w:ascii="Times New Roman" w:hAnsi="Times New Roman" w:eastAsia="宋体" w:cs="宋体"/>
                <w:bCs/>
                <w:color w:val="auto"/>
                <w:sz w:val="18"/>
                <w:szCs w:val="18"/>
                <w:highlight w:val="none"/>
              </w:rPr>
              <w:t xml:space="preserve"> </w:t>
            </w:r>
          </w:p>
          <w:p w14:paraId="47FA5EC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项目五 提高逆商 </w:t>
            </w:r>
          </w:p>
          <w:p w14:paraId="72C8C2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lang w:val="en-US" w:eastAsia="zh-CN"/>
              </w:rPr>
              <w:t>认识</w:t>
            </w:r>
            <w:r>
              <w:rPr>
                <w:rFonts w:hint="eastAsia" w:ascii="Times New Roman" w:hAnsi="Times New Roman" w:eastAsia="宋体" w:cs="宋体"/>
                <w:bCs/>
                <w:color w:val="auto"/>
                <w:sz w:val="18"/>
                <w:szCs w:val="18"/>
                <w:highlight w:val="none"/>
              </w:rPr>
              <w:t>压力</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了解压力的来源，认识大学生压力与身体疾病的关联，认识</w:t>
            </w:r>
            <w:r>
              <w:rPr>
                <w:rFonts w:hint="eastAsia" w:ascii="Times New Roman" w:hAnsi="Times New Roman" w:eastAsia="宋体" w:cs="宋体"/>
                <w:bCs/>
                <w:color w:val="auto"/>
                <w:sz w:val="18"/>
                <w:szCs w:val="18"/>
                <w:highlight w:val="none"/>
              </w:rPr>
              <w:t>挫折</w:t>
            </w:r>
            <w:r>
              <w:rPr>
                <w:rFonts w:hint="eastAsia" w:ascii="Times New Roman" w:hAnsi="Times New Roman" w:eastAsia="宋体" w:cs="宋体"/>
                <w:bCs/>
                <w:color w:val="auto"/>
                <w:sz w:val="18"/>
                <w:szCs w:val="18"/>
                <w:highlight w:val="none"/>
                <w:lang w:val="en-US" w:eastAsia="zh-CN"/>
              </w:rPr>
              <w:t>及原因，学习</w:t>
            </w:r>
            <w:r>
              <w:rPr>
                <w:rFonts w:hint="eastAsia" w:ascii="Times New Roman" w:hAnsi="Times New Roman" w:eastAsia="宋体" w:cs="宋体"/>
                <w:bCs/>
                <w:color w:val="auto"/>
                <w:sz w:val="18"/>
                <w:szCs w:val="18"/>
                <w:highlight w:val="none"/>
              </w:rPr>
              <w:t>应对</w:t>
            </w:r>
            <w:r>
              <w:rPr>
                <w:rFonts w:hint="eastAsia" w:ascii="Times New Roman" w:hAnsi="Times New Roman" w:eastAsia="宋体" w:cs="宋体"/>
                <w:bCs/>
                <w:color w:val="auto"/>
                <w:sz w:val="18"/>
                <w:szCs w:val="18"/>
                <w:highlight w:val="none"/>
                <w:lang w:val="en-US" w:eastAsia="zh-CN"/>
              </w:rPr>
              <w:t>压力和挫折的办法。</w:t>
            </w:r>
            <w:r>
              <w:rPr>
                <w:rFonts w:hint="eastAsia" w:ascii="Times New Roman" w:hAnsi="Times New Roman" w:eastAsia="宋体" w:cs="宋体"/>
                <w:bCs/>
                <w:color w:val="auto"/>
                <w:sz w:val="18"/>
                <w:szCs w:val="18"/>
                <w:highlight w:val="none"/>
              </w:rPr>
              <w:t xml:space="preserve"> </w:t>
            </w:r>
          </w:p>
          <w:p w14:paraId="0A3D23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项目六 善于学习 </w:t>
            </w:r>
          </w:p>
          <w:p w14:paraId="2BF4DC0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Times New Roman" w:hAnsi="Times New Roman" w:eastAsia="宋体" w:cs="宋体"/>
                <w:bCs/>
                <w:color w:val="auto"/>
                <w:sz w:val="18"/>
                <w:szCs w:val="18"/>
                <w:highlight w:val="none"/>
              </w:rPr>
              <w:t>职业生涯规划</w:t>
            </w:r>
            <w:r>
              <w:rPr>
                <w:rFonts w:hint="eastAsia" w:ascii="Times New Roman" w:hAnsi="Times New Roman" w:eastAsia="宋体" w:cs="宋体"/>
                <w:bCs/>
                <w:color w:val="auto"/>
                <w:sz w:val="18"/>
                <w:szCs w:val="18"/>
                <w:highlight w:val="none"/>
                <w:lang w:eastAsia="zh-CN"/>
              </w:rPr>
              <w:t>。</w:t>
            </w:r>
          </w:p>
          <w:p w14:paraId="74448B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项目七 人际交往 </w:t>
            </w:r>
          </w:p>
          <w:p w14:paraId="7FEE3B1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解读交往密码</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识别</w:t>
            </w:r>
            <w:r>
              <w:rPr>
                <w:rFonts w:hint="eastAsia" w:ascii="Times New Roman" w:hAnsi="Times New Roman" w:eastAsia="宋体" w:cs="宋体"/>
                <w:bCs/>
                <w:color w:val="auto"/>
                <w:sz w:val="18"/>
                <w:szCs w:val="18"/>
                <w:highlight w:val="none"/>
              </w:rPr>
              <w:t>人际交往</w:t>
            </w:r>
            <w:r>
              <w:rPr>
                <w:rFonts w:hint="eastAsia" w:ascii="Times New Roman" w:hAnsi="Times New Roman" w:eastAsia="宋体" w:cs="宋体"/>
                <w:bCs/>
                <w:color w:val="auto"/>
                <w:sz w:val="18"/>
                <w:szCs w:val="18"/>
                <w:highlight w:val="none"/>
                <w:lang w:val="en-US" w:eastAsia="zh-CN"/>
              </w:rPr>
              <w:t>中的</w:t>
            </w:r>
            <w:r>
              <w:rPr>
                <w:rFonts w:hint="eastAsia" w:ascii="Times New Roman" w:hAnsi="Times New Roman" w:eastAsia="宋体" w:cs="宋体"/>
                <w:bCs/>
                <w:color w:val="auto"/>
                <w:sz w:val="18"/>
                <w:szCs w:val="18"/>
                <w:highlight w:val="none"/>
              </w:rPr>
              <w:t>问题</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掌握</w:t>
            </w:r>
            <w:r>
              <w:rPr>
                <w:rFonts w:hint="eastAsia" w:ascii="Times New Roman" w:hAnsi="Times New Roman" w:eastAsia="宋体" w:cs="宋体"/>
                <w:bCs/>
                <w:color w:val="auto"/>
                <w:sz w:val="18"/>
                <w:szCs w:val="18"/>
                <w:highlight w:val="none"/>
              </w:rPr>
              <w:t>调适</w:t>
            </w:r>
            <w:r>
              <w:rPr>
                <w:rFonts w:hint="eastAsia" w:ascii="Times New Roman" w:hAnsi="Times New Roman" w:eastAsia="宋体" w:cs="宋体"/>
                <w:bCs/>
                <w:color w:val="auto"/>
                <w:sz w:val="18"/>
                <w:szCs w:val="18"/>
                <w:highlight w:val="none"/>
                <w:lang w:val="en-US" w:eastAsia="zh-CN"/>
              </w:rPr>
              <w:t>方法、</w:t>
            </w:r>
            <w:r>
              <w:rPr>
                <w:rFonts w:hint="eastAsia" w:ascii="Times New Roman" w:hAnsi="Times New Roman" w:eastAsia="宋体" w:cs="宋体"/>
                <w:bCs/>
                <w:color w:val="auto"/>
                <w:sz w:val="18"/>
                <w:szCs w:val="18"/>
                <w:highlight w:val="none"/>
              </w:rPr>
              <w:t>人际交往的原则和技巧</w:t>
            </w:r>
            <w:r>
              <w:rPr>
                <w:rFonts w:hint="eastAsia" w:ascii="Times New Roman" w:hAnsi="Times New Roman" w:eastAsia="宋体" w:cs="宋体"/>
                <w:bCs/>
                <w:color w:val="auto"/>
                <w:sz w:val="18"/>
                <w:szCs w:val="18"/>
                <w:highlight w:val="none"/>
                <w:lang w:eastAsia="zh-CN"/>
              </w:rPr>
              <w:t>。</w:t>
            </w:r>
          </w:p>
          <w:p w14:paraId="672CC01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项目八 为爱导航 </w:t>
            </w:r>
          </w:p>
          <w:p w14:paraId="47A9E32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认识爱情</w:t>
            </w:r>
            <w:r>
              <w:rPr>
                <w:rFonts w:hint="eastAsia" w:ascii="Times New Roman" w:hAnsi="Times New Roman" w:eastAsia="宋体" w:cs="宋体"/>
                <w:bCs/>
                <w:color w:val="auto"/>
                <w:sz w:val="18"/>
                <w:szCs w:val="18"/>
                <w:highlight w:val="none"/>
                <w:lang w:val="en-US" w:eastAsia="zh-CN"/>
              </w:rPr>
              <w:t>及相关理论</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了解大学生</w:t>
            </w:r>
            <w:r>
              <w:rPr>
                <w:rFonts w:hint="eastAsia" w:ascii="Times New Roman" w:hAnsi="Times New Roman" w:eastAsia="宋体" w:cs="宋体"/>
                <w:bCs/>
                <w:color w:val="auto"/>
                <w:sz w:val="18"/>
                <w:szCs w:val="18"/>
                <w:highlight w:val="none"/>
              </w:rPr>
              <w:t>恋爱</w:t>
            </w:r>
            <w:r>
              <w:rPr>
                <w:rFonts w:hint="eastAsia" w:ascii="Times New Roman" w:hAnsi="Times New Roman" w:eastAsia="宋体" w:cs="宋体"/>
                <w:bCs/>
                <w:color w:val="auto"/>
                <w:sz w:val="18"/>
                <w:szCs w:val="18"/>
                <w:highlight w:val="none"/>
                <w:lang w:val="en-US" w:eastAsia="zh-CN"/>
              </w:rPr>
              <w:t>的问题，培养健康恋爱观，正确认识</w:t>
            </w:r>
            <w:r>
              <w:rPr>
                <w:rFonts w:hint="eastAsia" w:ascii="Times New Roman" w:hAnsi="Times New Roman" w:eastAsia="宋体" w:cs="宋体"/>
                <w:bCs/>
                <w:color w:val="auto"/>
                <w:sz w:val="18"/>
                <w:szCs w:val="18"/>
                <w:highlight w:val="none"/>
              </w:rPr>
              <w:t>性心理</w:t>
            </w:r>
            <w:r>
              <w:rPr>
                <w:rFonts w:hint="eastAsia" w:ascii="Times New Roman" w:hAnsi="Times New Roman" w:eastAsia="宋体" w:cs="宋体"/>
                <w:bCs/>
                <w:color w:val="auto"/>
                <w:sz w:val="18"/>
                <w:szCs w:val="18"/>
                <w:highlight w:val="none"/>
                <w:lang w:val="en-US" w:eastAsia="zh-CN"/>
              </w:rPr>
              <w:t>的发展。</w:t>
            </w:r>
          </w:p>
          <w:p w14:paraId="478192A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项目九 危机干预</w:t>
            </w:r>
          </w:p>
          <w:p w14:paraId="382EDD5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认识危机</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了解学校危机干预体系，学习预防</w:t>
            </w:r>
            <w:r>
              <w:rPr>
                <w:rFonts w:hint="eastAsia" w:ascii="Times New Roman" w:hAnsi="Times New Roman" w:eastAsia="宋体" w:cs="宋体"/>
                <w:bCs/>
                <w:color w:val="auto"/>
                <w:sz w:val="18"/>
                <w:szCs w:val="18"/>
                <w:highlight w:val="none"/>
              </w:rPr>
              <w:t>危机</w:t>
            </w:r>
            <w:r>
              <w:rPr>
                <w:rFonts w:hint="eastAsia" w:ascii="Times New Roman" w:hAnsi="Times New Roman" w:eastAsia="宋体" w:cs="宋体"/>
                <w:bCs/>
                <w:color w:val="auto"/>
                <w:sz w:val="18"/>
                <w:szCs w:val="18"/>
                <w:highlight w:val="none"/>
                <w:lang w:val="en-US" w:eastAsia="zh-CN"/>
              </w:rPr>
              <w:t>的办法，掌握</w:t>
            </w:r>
            <w:r>
              <w:rPr>
                <w:rFonts w:hint="eastAsia" w:ascii="Times New Roman" w:hAnsi="Times New Roman" w:eastAsia="宋体" w:cs="宋体"/>
                <w:bCs/>
                <w:color w:val="auto"/>
                <w:sz w:val="18"/>
                <w:szCs w:val="18"/>
                <w:highlight w:val="none"/>
              </w:rPr>
              <w:t>自杀危机干预</w:t>
            </w:r>
            <w:r>
              <w:rPr>
                <w:rFonts w:hint="eastAsia" w:ascii="Times New Roman" w:hAnsi="Times New Roman" w:eastAsia="宋体" w:cs="宋体"/>
                <w:bCs/>
                <w:color w:val="auto"/>
                <w:sz w:val="18"/>
                <w:szCs w:val="18"/>
                <w:highlight w:val="none"/>
                <w:lang w:val="en-US" w:eastAsia="zh-CN"/>
              </w:rPr>
              <w:t>的措施。</w:t>
            </w:r>
          </w:p>
        </w:tc>
        <w:tc>
          <w:tcPr>
            <w:tcW w:w="2778" w:type="dxa"/>
            <w:noWrap w:val="0"/>
            <w:vAlign w:val="top"/>
          </w:tcPr>
          <w:p w14:paraId="38A5F8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（2）教学条件：校团体心理辅导室、沙盘治疗室、宣泄室、放松室。</w:t>
            </w:r>
          </w:p>
          <w:p w14:paraId="2F0FE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E6F86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（5）评价建议：采取平时考核（30%）+期末综合考核（70%）来评定学习效果。</w:t>
            </w:r>
          </w:p>
        </w:tc>
      </w:tr>
      <w:tr w14:paraId="20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64BBB6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职业发展与就业指导</w:t>
            </w:r>
          </w:p>
          <w:p w14:paraId="7AF6D37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p>
        </w:tc>
        <w:tc>
          <w:tcPr>
            <w:tcW w:w="2778" w:type="dxa"/>
            <w:noWrap w:val="0"/>
            <w:vAlign w:val="top"/>
          </w:tcPr>
          <w:p w14:paraId="76FE6FA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6</w:t>
            </w:r>
            <w:r>
              <w:rPr>
                <w:rFonts w:hint="eastAsia" w:ascii="Times New Roman" w:hAnsi="Times New Roman" w:eastAsia="宋体" w:cs="宋体"/>
                <w:color w:val="000000" w:themeColor="text1"/>
                <w:sz w:val="18"/>
                <w:szCs w:val="18"/>
                <w:highlight w:val="none"/>
                <w14:textFill>
                  <w14:solidFill>
                    <w14:schemeClr w14:val="tx1"/>
                  </w14:solidFill>
                </w14:textFill>
              </w:rPr>
              <w:t>）具备信息搜索与管理技能、生涯决策技能、求职技能等。</w:t>
            </w:r>
          </w:p>
          <w:p w14:paraId="328D057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7</w:t>
            </w:r>
            <w:r>
              <w:rPr>
                <w:rFonts w:hint="eastAsia" w:ascii="Times New Roman" w:hAnsi="Times New Roman" w:eastAsia="宋体" w:cs="宋体"/>
                <w:color w:val="000000" w:themeColor="text1"/>
                <w:sz w:val="18"/>
                <w:szCs w:val="18"/>
                <w:highlight w:val="none"/>
                <w14:textFill>
                  <w14:solidFill>
                    <w14:schemeClr w14:val="tx1"/>
                  </w14:solidFill>
                </w14:textFill>
              </w:rPr>
              <w:t>）具备与他人有效沟通与合作能力。</w:t>
            </w:r>
          </w:p>
          <w:p w14:paraId="3DF5E70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8</w:t>
            </w:r>
            <w:r>
              <w:rPr>
                <w:rFonts w:hint="eastAsia" w:ascii="Times New Roman" w:hAnsi="Times New Roman" w:eastAsia="宋体" w:cs="宋体"/>
                <w:color w:val="000000" w:themeColor="text1"/>
                <w:sz w:val="18"/>
                <w:szCs w:val="18"/>
                <w:highlight w:val="none"/>
                <w14:textFill>
                  <w14:solidFill>
                    <w14:schemeClr w14:val="tx1"/>
                  </w14:solidFill>
                </w14:textFill>
              </w:rPr>
              <w:t>）能够搜集、分析、选择就业信息，制定职业生涯规划。</w:t>
            </w:r>
          </w:p>
          <w:p w14:paraId="3AC4754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9</w:t>
            </w:r>
            <w:r>
              <w:rPr>
                <w:rFonts w:hint="eastAsia" w:ascii="Times New Roman" w:hAnsi="Times New Roman" w:eastAsia="宋体" w:cs="宋体"/>
                <w:color w:val="000000" w:themeColor="text1"/>
                <w:sz w:val="18"/>
                <w:szCs w:val="18"/>
                <w:highlight w:val="none"/>
                <w14:textFill>
                  <w14:solidFill>
                    <w14:schemeClr w14:val="tx1"/>
                  </w14:solidFill>
                </w14:textFill>
              </w:rPr>
              <w:t>）能应用求职简历、求职信、面试技巧等方法进行自我推荐。</w:t>
            </w:r>
          </w:p>
          <w:p w14:paraId="3908979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（1</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0</w:t>
            </w:r>
            <w:r>
              <w:rPr>
                <w:rFonts w:hint="eastAsia" w:ascii="Times New Roman" w:hAnsi="Times New Roman"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2D011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11</w:t>
            </w:r>
            <w:r>
              <w:rPr>
                <w:rFonts w:hint="eastAsia" w:ascii="Times New Roman" w:hAnsi="Times New Roman"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2F29A7C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12</w:t>
            </w:r>
            <w:r>
              <w:rPr>
                <w:rFonts w:hint="eastAsia" w:ascii="Times New Roman" w:hAnsi="Times New Roman"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5FC3F20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模块一 认识大学生就业</w:t>
            </w:r>
          </w:p>
          <w:p w14:paraId="5939CC1F">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通过就业指导，熟悉就业制度与政策。</w:t>
            </w:r>
          </w:p>
          <w:p w14:paraId="42BC585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模块二 规划职业生涯</w:t>
            </w:r>
          </w:p>
          <w:p w14:paraId="172BCFC5">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51504E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模块三 提升就业能力</w:t>
            </w:r>
          </w:p>
          <w:p w14:paraId="1C1D7F80">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8D4AE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模块四 准备求职面试</w:t>
            </w:r>
          </w:p>
          <w:p w14:paraId="24D58B53">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96D6E1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模块五 迈好职场第一步</w:t>
            </w:r>
          </w:p>
          <w:p w14:paraId="735D91D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11FF83B">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模块六 就业权益与保障</w:t>
            </w:r>
          </w:p>
          <w:p w14:paraId="4F380C19">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74BA259">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DB6D7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A2EA62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（6）评价建议：采取学习过程考核（</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30</w:t>
            </w:r>
            <w:r>
              <w:rPr>
                <w:rFonts w:hint="eastAsia" w:ascii="Times New Roman" w:hAnsi="Times New Roman" w:eastAsia="宋体" w:cs="宋体"/>
                <w:color w:val="000000" w:themeColor="text1"/>
                <w:sz w:val="18"/>
                <w:szCs w:val="18"/>
                <w:highlight w:val="none"/>
                <w14:textFill>
                  <w14:solidFill>
                    <w14:schemeClr w14:val="tx1"/>
                  </w14:solidFill>
                </w14:textFill>
              </w:rPr>
              <w:t>%）+期末测评（</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70</w:t>
            </w:r>
            <w:r>
              <w:rPr>
                <w:rFonts w:hint="eastAsia" w:ascii="Times New Roman" w:hAnsi="Times New Roman" w:eastAsia="宋体" w:cs="宋体"/>
                <w:color w:val="000000" w:themeColor="text1"/>
                <w:sz w:val="18"/>
                <w:szCs w:val="18"/>
                <w:highlight w:val="none"/>
                <w14:textFill>
                  <w14:solidFill>
                    <w14:schemeClr w14:val="tx1"/>
                  </w14:solidFill>
                </w14:textFill>
              </w:rPr>
              <w:t>%）评定学习效果。</w:t>
            </w:r>
          </w:p>
          <w:p w14:paraId="7562CB9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2B789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9B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749B7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
                <w:bCs/>
                <w:color w:val="auto"/>
                <w:sz w:val="18"/>
                <w:szCs w:val="18"/>
                <w:highlight w:val="none"/>
              </w:rPr>
              <w:t>创新创业教育</w:t>
            </w:r>
          </w:p>
        </w:tc>
        <w:tc>
          <w:tcPr>
            <w:tcW w:w="2778" w:type="dxa"/>
            <w:noWrap w:val="0"/>
            <w:vAlign w:val="top"/>
          </w:tcPr>
          <w:p w14:paraId="084561B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（1）掌握创新的概念，了解创新的内涵和技法。</w:t>
            </w:r>
          </w:p>
          <w:p w14:paraId="29D995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（2）掌握开展创新创业活动所需要的基本知识、了解创业优惠政策。</w:t>
            </w:r>
          </w:p>
          <w:p w14:paraId="73E264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（3）了解行业的发展特点和趋势。</w:t>
            </w:r>
          </w:p>
          <w:p w14:paraId="277895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（4）掌握创业计划书的内容，熟悉创业方式和基本流程，树立科学的创业观。 </w:t>
            </w:r>
          </w:p>
          <w:p w14:paraId="320941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5</w:t>
            </w:r>
            <w:r>
              <w:rPr>
                <w:rFonts w:hint="eastAsia" w:ascii="Times New Roman" w:hAnsi="Times New Roman" w:eastAsia="宋体" w:cs="宋体"/>
                <w:color w:val="auto"/>
                <w:kern w:val="0"/>
                <w:sz w:val="18"/>
                <w:szCs w:val="18"/>
                <w:highlight w:val="none"/>
              </w:rPr>
              <w:t>）形成创新创业理念、提升创新创业能力，能够撰写创业计划书。</w:t>
            </w:r>
          </w:p>
          <w:p w14:paraId="499BCB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6</w:t>
            </w:r>
            <w:r>
              <w:rPr>
                <w:rFonts w:hint="eastAsia" w:ascii="Times New Roman" w:hAnsi="Times New Roman" w:eastAsia="宋体" w:cs="宋体"/>
                <w:color w:val="auto"/>
                <w:kern w:val="0"/>
                <w:sz w:val="18"/>
                <w:szCs w:val="18"/>
                <w:highlight w:val="none"/>
              </w:rPr>
              <w:t>）具备团队协作能力。</w:t>
            </w:r>
          </w:p>
          <w:p w14:paraId="65D9EBC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7</w:t>
            </w:r>
            <w:r>
              <w:rPr>
                <w:rFonts w:hint="eastAsia" w:ascii="Times New Roman" w:hAnsi="Times New Roman" w:eastAsia="宋体" w:cs="宋体"/>
                <w:color w:val="auto"/>
                <w:kern w:val="0"/>
                <w:sz w:val="18"/>
                <w:szCs w:val="18"/>
                <w:highlight w:val="none"/>
              </w:rPr>
              <w:t>）具备与他人合作，提供有价值解决方案的能力。</w:t>
            </w:r>
          </w:p>
          <w:p w14:paraId="69CC52D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8</w:t>
            </w:r>
            <w:r>
              <w:rPr>
                <w:rFonts w:hint="eastAsia" w:ascii="Times New Roman" w:hAnsi="Times New Roman" w:eastAsia="宋体" w:cs="宋体"/>
                <w:color w:val="auto"/>
                <w:kern w:val="0"/>
                <w:sz w:val="18"/>
                <w:szCs w:val="18"/>
                <w:highlight w:val="none"/>
              </w:rPr>
              <w:t>）运用互联网思维利用自身特长进行创业的能力。</w:t>
            </w:r>
          </w:p>
          <w:p w14:paraId="01B8C3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9</w:t>
            </w:r>
            <w:r>
              <w:rPr>
                <w:rFonts w:hint="eastAsia" w:ascii="Times New Roman" w:hAnsi="Times New Roman" w:eastAsia="宋体" w:cs="宋体"/>
                <w:color w:val="auto"/>
                <w:kern w:val="0"/>
                <w:sz w:val="18"/>
                <w:szCs w:val="18"/>
                <w:highlight w:val="none"/>
              </w:rPr>
              <w:t>）培养当代大学生创新创业意识与创新创业思维，提高创新创业综合素质。</w:t>
            </w:r>
          </w:p>
          <w:p w14:paraId="19F956A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10</w:t>
            </w:r>
            <w:r>
              <w:rPr>
                <w:rFonts w:hint="eastAsia" w:ascii="Times New Roman" w:hAnsi="Times New Roman" w:eastAsia="宋体" w:cs="宋体"/>
                <w:color w:val="auto"/>
                <w:kern w:val="0"/>
                <w:sz w:val="18"/>
                <w:szCs w:val="18"/>
                <w:highlight w:val="none"/>
              </w:rPr>
              <w:t>）培养具有创新精神、敢想敢干、有经济头脑、善于发挥自身优势、善于人际交往的创新型人才。</w:t>
            </w:r>
          </w:p>
          <w:p w14:paraId="386366A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11</w:t>
            </w:r>
            <w:r>
              <w:rPr>
                <w:rFonts w:hint="eastAsia" w:ascii="Times New Roman" w:hAnsi="Times New Roman" w:eastAsia="宋体" w:cs="宋体"/>
                <w:color w:val="auto"/>
                <w:kern w:val="0"/>
                <w:sz w:val="18"/>
                <w:szCs w:val="18"/>
                <w:highlight w:val="none"/>
              </w:rPr>
              <w:t>）积极参与创新创业建设，倡导敢为人先、敢于冒险的新风尚。</w:t>
            </w:r>
          </w:p>
          <w:p w14:paraId="744B548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12</w:t>
            </w:r>
            <w:r>
              <w:rPr>
                <w:rFonts w:hint="eastAsia" w:ascii="Times New Roman" w:hAnsi="Times New Roman"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AA941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创新概念和类型。  </w:t>
            </w:r>
          </w:p>
          <w:p w14:paraId="4B2BAA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2</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创新意识和创新能力。 </w:t>
            </w:r>
          </w:p>
          <w:p w14:paraId="73793C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3</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创新思维及分类。 </w:t>
            </w:r>
          </w:p>
          <w:p w14:paraId="2F1462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4</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创新技法。  </w:t>
            </w:r>
          </w:p>
          <w:p w14:paraId="010BA2A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5</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大学生创新实践项目展示。  </w:t>
            </w:r>
          </w:p>
          <w:p w14:paraId="355422A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6</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创业的概念、过程和阶段。  </w:t>
            </w:r>
          </w:p>
          <w:p w14:paraId="1145ED7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（7）创业准备。  </w:t>
            </w:r>
          </w:p>
          <w:p w14:paraId="19A2F3B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（8）创办企业基本步骤。 </w:t>
            </w:r>
          </w:p>
          <w:p w14:paraId="263B701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（9）新创企业经营管理。 </w:t>
            </w:r>
          </w:p>
          <w:p w14:paraId="2BCAED2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（10）大学生创业实践项目展示。  </w:t>
            </w:r>
          </w:p>
          <w:p w14:paraId="3E47F7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lang w:val="en-US" w:eastAsia="zh-CN"/>
              </w:rPr>
            </w:pPr>
          </w:p>
        </w:tc>
        <w:tc>
          <w:tcPr>
            <w:tcW w:w="2778" w:type="dxa"/>
            <w:noWrap w:val="0"/>
            <w:vAlign w:val="top"/>
          </w:tcPr>
          <w:p w14:paraId="2B04CBE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2B774F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224F78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（3）教学条件：多媒体教室和智慧校园平台。</w:t>
            </w:r>
          </w:p>
          <w:p w14:paraId="362ADF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（4）教师要求：本课程的主讲教师须有过创业经历或参加过创新、创业项目（或大赛）或指导过学生创新创业项目和大赛。</w:t>
            </w:r>
          </w:p>
          <w:p w14:paraId="130AB3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7B45690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color w:val="auto"/>
                <w:kern w:val="0"/>
                <w:sz w:val="18"/>
                <w:szCs w:val="18"/>
                <w:highlight w:val="none"/>
              </w:rPr>
              <w:t>（6）评价建议：采取学习过程考核（</w:t>
            </w:r>
            <w:r>
              <w:rPr>
                <w:rFonts w:hint="eastAsia" w:ascii="Times New Roman" w:hAnsi="Times New Roman" w:eastAsia="宋体" w:cs="宋体"/>
                <w:color w:val="auto"/>
                <w:kern w:val="0"/>
                <w:sz w:val="18"/>
                <w:szCs w:val="18"/>
                <w:highlight w:val="none"/>
                <w:lang w:val="en-US" w:eastAsia="zh-CN"/>
              </w:rPr>
              <w:t>30</w:t>
            </w:r>
            <w:r>
              <w:rPr>
                <w:rFonts w:hint="eastAsia" w:ascii="Times New Roman" w:hAnsi="Times New Roman" w:eastAsia="宋体" w:cs="宋体"/>
                <w:color w:val="auto"/>
                <w:kern w:val="0"/>
                <w:sz w:val="18"/>
                <w:szCs w:val="18"/>
                <w:highlight w:val="none"/>
              </w:rPr>
              <w:t>%）+期末测评（</w:t>
            </w:r>
            <w:r>
              <w:rPr>
                <w:rFonts w:hint="eastAsia" w:ascii="Times New Roman" w:hAnsi="Times New Roman" w:eastAsia="宋体" w:cs="宋体"/>
                <w:color w:val="auto"/>
                <w:kern w:val="0"/>
                <w:sz w:val="18"/>
                <w:szCs w:val="18"/>
                <w:highlight w:val="none"/>
                <w:lang w:val="en-US" w:eastAsia="zh-CN"/>
              </w:rPr>
              <w:t>70</w:t>
            </w:r>
            <w:r>
              <w:rPr>
                <w:rFonts w:hint="eastAsia" w:ascii="Times New Roman" w:hAnsi="Times New Roman" w:eastAsia="宋体" w:cs="宋体"/>
                <w:color w:val="auto"/>
                <w:kern w:val="0"/>
                <w:sz w:val="18"/>
                <w:szCs w:val="18"/>
                <w:highlight w:val="none"/>
              </w:rPr>
              <w:t>%）评定学习效果。</w:t>
            </w:r>
          </w:p>
        </w:tc>
      </w:tr>
      <w:tr w14:paraId="03B5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797DAA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高</w:t>
            </w:r>
            <w:r>
              <w:rPr>
                <w:rFonts w:hint="eastAsia" w:ascii="Times New Roman" w:hAnsi="Times New Roman" w:eastAsia="宋体" w:cs="宋体"/>
                <w:b/>
                <w:bCs/>
                <w:color w:val="auto"/>
                <w:sz w:val="18"/>
                <w:szCs w:val="18"/>
                <w:highlight w:val="none"/>
                <w:lang w:val="en-US" w:eastAsia="zh-CN"/>
              </w:rPr>
              <w:t>等</w:t>
            </w:r>
            <w:r>
              <w:rPr>
                <w:rFonts w:hint="eastAsia" w:ascii="Times New Roman" w:hAnsi="Times New Roman" w:eastAsia="宋体" w:cs="宋体"/>
                <w:b/>
                <w:bCs/>
                <w:color w:val="auto"/>
                <w:sz w:val="18"/>
                <w:szCs w:val="18"/>
                <w:highlight w:val="none"/>
              </w:rPr>
              <w:t>数学</w:t>
            </w:r>
          </w:p>
          <w:p w14:paraId="2550424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7896E57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（1）认识微积分的发展史及其重要性、实用性，能够正确描述极限、导数、微分、积分等概念。</w:t>
            </w:r>
          </w:p>
          <w:p w14:paraId="4BEF536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2B1B9A6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（3）能够利用已有知识获取新知识，并具有通过解决实际问题获得实用方法和创新思维的能力。</w:t>
            </w:r>
          </w:p>
          <w:p w14:paraId="1143C23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（4）培养和提升各专业学生进行专业学习和终身学习所必需的数理基础和数理思维。</w:t>
            </w:r>
          </w:p>
          <w:p w14:paraId="7B644E4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（5）培养学生严谨、认真、踏实、细心做事的态度，以及进行质疑和独立思考的习惯。</w:t>
            </w:r>
          </w:p>
          <w:p w14:paraId="08AE27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kern w:val="2"/>
                <w:sz w:val="18"/>
                <w:szCs w:val="18"/>
                <w:highlight w:val="none"/>
                <w:lang w:val="en-US" w:eastAsia="zh-CN" w:bidi="ar-SA"/>
              </w:rPr>
            </w:pPr>
            <w:r>
              <w:rPr>
                <w:rFonts w:hint="eastAsia" w:ascii="Times New Roman" w:hAnsi="Times New Roman"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3F68B01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（1）函数基础知识。</w:t>
            </w:r>
          </w:p>
          <w:p w14:paraId="2AE094D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（2）极限与连续。</w:t>
            </w:r>
          </w:p>
          <w:p w14:paraId="34E340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（3）导数与微分。</w:t>
            </w:r>
          </w:p>
          <w:p w14:paraId="257AA63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（4）导数的应用。</w:t>
            </w:r>
          </w:p>
          <w:p w14:paraId="63BA785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（5）不定积分及其运算。</w:t>
            </w:r>
          </w:p>
          <w:p w14:paraId="381BAE7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（6）定积分及其应用。</w:t>
            </w:r>
          </w:p>
          <w:p w14:paraId="75AFFA6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（7）多元函数。</w:t>
            </w:r>
          </w:p>
          <w:p w14:paraId="1388DA6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p>
          <w:p w14:paraId="2E4687C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p>
          <w:p w14:paraId="113CD70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p>
          <w:p w14:paraId="0883F3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p>
          <w:p w14:paraId="5631CB1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kern w:val="2"/>
                <w:sz w:val="18"/>
                <w:szCs w:val="18"/>
                <w:highlight w:val="none"/>
                <w:lang w:val="en-US" w:eastAsia="zh-CN" w:bidi="ar-SA"/>
              </w:rPr>
            </w:pPr>
          </w:p>
        </w:tc>
        <w:tc>
          <w:tcPr>
            <w:tcW w:w="2778" w:type="dxa"/>
            <w:noWrap w:val="0"/>
            <w:vAlign w:val="top"/>
          </w:tcPr>
          <w:p w14:paraId="13052C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（1）教学模式：以“知识、应用、技能、发展”为要素，</w:t>
            </w:r>
            <w:r>
              <w:rPr>
                <w:rFonts w:hint="eastAsia" w:ascii="Times New Roman" w:hAnsi="Times New Roman" w:eastAsia="宋体" w:cs="宋体"/>
                <w:b w:val="0"/>
                <w:bCs/>
                <w:color w:val="auto"/>
                <w:sz w:val="18"/>
                <w:szCs w:val="18"/>
                <w:highlight w:val="none"/>
                <w:lang w:val="en-US" w:eastAsia="zh-CN"/>
              </w:rPr>
              <w:t>以学生为中心，教师讲解为辅，学生练习为主，讲练结合。</w:t>
            </w:r>
            <w:r>
              <w:rPr>
                <w:rFonts w:hint="eastAsia" w:ascii="Times New Roman" w:hAnsi="Times New Roman" w:eastAsia="宋体" w:cs="宋体"/>
                <w:b w:val="0"/>
                <w:bCs/>
                <w:color w:val="auto"/>
                <w:sz w:val="18"/>
                <w:szCs w:val="18"/>
                <w:highlight w:val="none"/>
              </w:rPr>
              <w:t>对学生的共性问题进行答疑，课内课外相结合，开展形式多样的教学，提升课程教学浸润感和实效性。</w:t>
            </w:r>
          </w:p>
          <w:p w14:paraId="463CB6A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（2）教学条件：多媒体</w:t>
            </w:r>
            <w:r>
              <w:rPr>
                <w:rFonts w:hint="eastAsia" w:ascii="Times New Roman" w:hAnsi="Times New Roman" w:eastAsia="宋体" w:cs="宋体"/>
                <w:b w:val="0"/>
                <w:bCs/>
                <w:color w:val="auto"/>
                <w:sz w:val="18"/>
                <w:szCs w:val="18"/>
                <w:highlight w:val="none"/>
                <w:lang w:val="en-US" w:eastAsia="zh-CN"/>
              </w:rPr>
              <w:t>教学设备</w:t>
            </w:r>
            <w:r>
              <w:rPr>
                <w:rFonts w:hint="eastAsia" w:ascii="Times New Roman" w:hAnsi="Times New Roman" w:eastAsia="宋体" w:cs="宋体"/>
                <w:b w:val="0"/>
                <w:bCs/>
                <w:color w:val="auto"/>
                <w:sz w:val="18"/>
                <w:szCs w:val="18"/>
                <w:highlight w:val="none"/>
              </w:rPr>
              <w:t>、</w:t>
            </w:r>
            <w:r>
              <w:rPr>
                <w:rFonts w:hint="eastAsia" w:ascii="Times New Roman" w:hAnsi="Times New Roman" w:eastAsia="宋体" w:cs="宋体"/>
                <w:b w:val="0"/>
                <w:bCs/>
                <w:color w:val="auto"/>
                <w:sz w:val="18"/>
                <w:szCs w:val="18"/>
                <w:highlight w:val="none"/>
                <w:lang w:val="en-US" w:eastAsia="zh-CN"/>
              </w:rPr>
              <w:t>在线学习平台学习通</w:t>
            </w:r>
            <w:r>
              <w:rPr>
                <w:rFonts w:hint="eastAsia" w:ascii="Times New Roman" w:hAnsi="Times New Roman" w:eastAsia="宋体" w:cs="宋体"/>
                <w:b w:val="0"/>
                <w:bCs/>
                <w:color w:val="auto"/>
                <w:sz w:val="18"/>
                <w:szCs w:val="18"/>
                <w:highlight w:val="none"/>
              </w:rPr>
              <w:t>。</w:t>
            </w:r>
          </w:p>
          <w:p w14:paraId="2F0736B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Times New Roman" w:hAnsi="Times New Roman" w:eastAsia="宋体" w:cs="宋体"/>
                <w:b w:val="0"/>
                <w:bCs/>
                <w:color w:val="auto"/>
                <w:sz w:val="18"/>
                <w:szCs w:val="18"/>
                <w:highlight w:val="none"/>
                <w:lang w:eastAsia="zh-CN"/>
              </w:rPr>
            </w:pPr>
            <w:r>
              <w:rPr>
                <w:rFonts w:hint="eastAsia" w:ascii="Times New Roman" w:hAnsi="Times New Roman" w:eastAsia="宋体" w:cs="宋体"/>
                <w:b w:val="0"/>
                <w:bCs/>
                <w:color w:val="auto"/>
                <w:sz w:val="18"/>
                <w:szCs w:val="18"/>
                <w:highlight w:val="none"/>
              </w:rPr>
              <w:t>（3）教学方法：运用案例式教学、启发式教学、讨论式教学、任务驱动式</w:t>
            </w:r>
            <w:r>
              <w:rPr>
                <w:rFonts w:hint="eastAsia" w:ascii="Times New Roman" w:hAnsi="Times New Roman" w:eastAsia="宋体" w:cs="宋体"/>
                <w:b w:val="0"/>
                <w:bCs/>
                <w:color w:val="auto"/>
                <w:sz w:val="18"/>
                <w:szCs w:val="18"/>
                <w:highlight w:val="none"/>
                <w:lang w:val="en-US" w:eastAsia="zh-CN"/>
              </w:rPr>
              <w:t>教学法</w:t>
            </w:r>
            <w:r>
              <w:rPr>
                <w:rFonts w:hint="eastAsia" w:ascii="Times New Roman" w:hAnsi="Times New Roman"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Times New Roman" w:hAnsi="Times New Roman" w:eastAsia="宋体" w:cs="宋体"/>
                <w:b w:val="0"/>
                <w:bCs/>
                <w:color w:val="auto"/>
                <w:sz w:val="18"/>
                <w:szCs w:val="18"/>
                <w:highlight w:val="none"/>
                <w:lang w:eastAsia="zh-CN"/>
              </w:rPr>
              <w:t>。</w:t>
            </w:r>
          </w:p>
          <w:p w14:paraId="09E86A2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（4）教师要求：任课教师要关注数学的发展动态以及数学专业</w:t>
            </w:r>
            <w:r>
              <w:rPr>
                <w:rFonts w:hint="eastAsia" w:ascii="Times New Roman" w:hAnsi="Times New Roman" w:eastAsia="宋体" w:cs="宋体"/>
                <w:b w:val="0"/>
                <w:bCs/>
                <w:color w:val="auto"/>
                <w:sz w:val="18"/>
                <w:szCs w:val="18"/>
                <w:highlight w:val="none"/>
                <w:lang w:val="en-US" w:eastAsia="zh-CN"/>
              </w:rPr>
              <w:t>在</w:t>
            </w:r>
            <w:r>
              <w:rPr>
                <w:rFonts w:hint="eastAsia" w:ascii="Times New Roman" w:hAnsi="Times New Roman" w:eastAsia="宋体" w:cs="宋体"/>
                <w:b w:val="0"/>
                <w:bCs/>
                <w:color w:val="auto"/>
                <w:sz w:val="18"/>
                <w:szCs w:val="18"/>
                <w:highlight w:val="none"/>
              </w:rPr>
              <w:t>生活中的应用，及时把最新的发展方向融入教学内容，告知学生，使其体会到数学的重要性。</w:t>
            </w:r>
          </w:p>
          <w:p w14:paraId="554BA15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 w:val="0"/>
                <w:color w:val="auto"/>
                <w:sz w:val="18"/>
                <w:szCs w:val="18"/>
                <w:highlight w:val="none"/>
              </w:rPr>
              <w:t>（5）考</w:t>
            </w:r>
            <w:r>
              <w:rPr>
                <w:rFonts w:hint="eastAsia" w:ascii="Times New Roman" w:hAnsi="Times New Roman" w:eastAsia="宋体" w:cs="宋体"/>
                <w:b w:val="0"/>
                <w:bCs/>
                <w:color w:val="auto"/>
                <w:sz w:val="18"/>
                <w:szCs w:val="18"/>
                <w:highlight w:val="none"/>
              </w:rPr>
              <w:t>核方式：采取学习过程考核（</w:t>
            </w:r>
            <w:r>
              <w:rPr>
                <w:rFonts w:hint="eastAsia" w:ascii="Times New Roman" w:hAnsi="Times New Roman" w:eastAsia="宋体" w:cs="宋体"/>
                <w:b w:val="0"/>
                <w:bCs/>
                <w:color w:val="auto"/>
                <w:sz w:val="18"/>
                <w:szCs w:val="18"/>
                <w:highlight w:val="none"/>
                <w:lang w:val="en-US" w:eastAsia="zh-CN"/>
              </w:rPr>
              <w:t>3</w:t>
            </w:r>
            <w:r>
              <w:rPr>
                <w:rFonts w:hint="eastAsia" w:ascii="Times New Roman" w:hAnsi="Times New Roman" w:eastAsia="宋体" w:cs="宋体"/>
                <w:b w:val="0"/>
                <w:bCs/>
                <w:color w:val="auto"/>
                <w:sz w:val="18"/>
                <w:szCs w:val="18"/>
                <w:highlight w:val="none"/>
              </w:rPr>
              <w:t>0%）+期末测评（</w:t>
            </w:r>
            <w:r>
              <w:rPr>
                <w:rFonts w:hint="eastAsia" w:ascii="Times New Roman" w:hAnsi="Times New Roman" w:eastAsia="宋体" w:cs="宋体"/>
                <w:b w:val="0"/>
                <w:bCs/>
                <w:color w:val="auto"/>
                <w:sz w:val="18"/>
                <w:szCs w:val="18"/>
                <w:highlight w:val="none"/>
                <w:lang w:val="en-US" w:eastAsia="zh-CN"/>
              </w:rPr>
              <w:t>7</w:t>
            </w:r>
            <w:r>
              <w:rPr>
                <w:rFonts w:hint="eastAsia" w:ascii="Times New Roman" w:hAnsi="Times New Roman" w:eastAsia="宋体" w:cs="宋体"/>
                <w:b w:val="0"/>
                <w:bCs/>
                <w:color w:val="auto"/>
                <w:sz w:val="18"/>
                <w:szCs w:val="18"/>
                <w:highlight w:val="none"/>
              </w:rPr>
              <w:t>0%）评定学习效果。</w:t>
            </w:r>
          </w:p>
        </w:tc>
      </w:tr>
      <w:tr w14:paraId="45C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FC1068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大学英语</w:t>
            </w:r>
          </w:p>
          <w:p w14:paraId="51F2B04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77057F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Times New Roman" w:hAnsi="Times New Roman"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5F227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F79ACF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47204A1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 1. A New Start</w:t>
            </w:r>
          </w:p>
          <w:p w14:paraId="7464A5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3262DC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73A5C59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72442B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78AC328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color w:val="auto"/>
                <w:sz w:val="18"/>
                <w:szCs w:val="18"/>
                <w:highlight w:val="none"/>
              </w:rPr>
            </w:pPr>
            <w:r>
              <w:rPr>
                <w:rFonts w:hint="eastAsia" w:ascii="Times New Roman" w:hAnsi="Times New Roman" w:eastAsia="宋体" w:cs="宋体"/>
                <w:b w:val="0"/>
                <w:bCs w:val="0"/>
                <w:color w:val="auto"/>
                <w:sz w:val="18"/>
                <w:szCs w:val="18"/>
                <w:highlight w:val="none"/>
                <w:lang w:val="en-US" w:eastAsia="zh-CN"/>
              </w:rPr>
              <w:t>Let’s Write</w:t>
            </w:r>
          </w:p>
          <w:p w14:paraId="2A47CF9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Unit2. Develop Your Study Habits</w:t>
            </w:r>
          </w:p>
          <w:p w14:paraId="3FB37B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6DF91C6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131E859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6CA0B2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3DCC2A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5FA3A79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Unit3. Enjoy Your Spare Time</w:t>
            </w:r>
          </w:p>
          <w:p w14:paraId="615F20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5E0F90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0D7FDB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24882D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47A75B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6D160CE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 4. Make Your Choices</w:t>
            </w:r>
          </w:p>
          <w:p w14:paraId="2022E3C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504C85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2D9763E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6F935B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48FEC7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5ED85C7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Unit5. Use Your Smart Phones Wisely</w:t>
            </w:r>
          </w:p>
          <w:p w14:paraId="57E128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50FF3E7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2DF68B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337766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70D1B2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5139C4D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 6. Love Your Parents</w:t>
            </w:r>
          </w:p>
          <w:p w14:paraId="1BF8055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2C7C0D7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4E26FB0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3166C9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33CE283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7C8761FD">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Unit7.Have Some Fun in Festivals</w:t>
            </w:r>
          </w:p>
          <w:p w14:paraId="5762365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3C10F6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570FA18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2FCDF0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531F94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195CEED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 8. Travel</w:t>
            </w:r>
          </w:p>
          <w:p w14:paraId="365569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6D260F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325D14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3A86046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35A23C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 w:val="0"/>
                <w:bCs w:val="0"/>
                <w:color w:val="auto"/>
                <w:sz w:val="18"/>
                <w:szCs w:val="18"/>
                <w:highlight w:val="none"/>
                <w:lang w:val="en-US" w:eastAsia="zh-CN"/>
              </w:rPr>
              <w:t>Let’s Write</w:t>
            </w:r>
          </w:p>
        </w:tc>
        <w:tc>
          <w:tcPr>
            <w:tcW w:w="2778" w:type="dxa"/>
            <w:noWrap w:val="0"/>
            <w:vAlign w:val="top"/>
          </w:tcPr>
          <w:p w14:paraId="7AA86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w:t>
            </w:r>
            <w:r>
              <w:rPr>
                <w:rFonts w:hint="eastAsia" w:ascii="Times New Roman" w:hAnsi="Times New Roman" w:eastAsia="宋体" w:cs="宋体"/>
                <w:bCs/>
                <w:color w:val="auto"/>
                <w:sz w:val="18"/>
                <w:szCs w:val="18"/>
                <w:highlight w:val="none"/>
              </w:rPr>
              <w:t>教学模式</w:t>
            </w:r>
            <w:r>
              <w:rPr>
                <w:rFonts w:hint="eastAsia" w:ascii="Times New Roman" w:hAnsi="Times New Roman"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（2）教学方法：运用讨论法、情境教学法、任务驱动教学法、成果导向教学法、启发式教学法等，全面提升课堂效率和学生学习兴趣。</w:t>
            </w:r>
          </w:p>
          <w:p w14:paraId="45BB89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（3）教学条件：多媒体教室、</w:t>
            </w:r>
            <w:r>
              <w:rPr>
                <w:rFonts w:hint="eastAsia" w:ascii="Times New Roman" w:hAnsi="Times New Roman" w:eastAsia="宋体" w:cs="宋体"/>
                <w:bCs/>
                <w:color w:val="auto"/>
                <w:sz w:val="18"/>
                <w:szCs w:val="18"/>
                <w:highlight w:val="none"/>
                <w:lang w:val="en-US" w:eastAsia="zh-CN"/>
              </w:rPr>
              <w:t>学习通</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智谱清言</w:t>
            </w:r>
            <w:r>
              <w:rPr>
                <w:rFonts w:hint="eastAsia" w:ascii="Times New Roman" w:hAnsi="Times New Roman" w:eastAsia="宋体" w:cs="宋体"/>
                <w:bCs/>
                <w:color w:val="auto"/>
                <w:sz w:val="18"/>
                <w:szCs w:val="18"/>
                <w:highlight w:val="none"/>
              </w:rPr>
              <w:t>、英语</w:t>
            </w:r>
            <w:r>
              <w:rPr>
                <w:rFonts w:hint="eastAsia" w:ascii="Times New Roman" w:hAnsi="Times New Roman" w:eastAsia="宋体" w:cs="宋体"/>
                <w:bCs/>
                <w:color w:val="auto"/>
                <w:sz w:val="18"/>
                <w:szCs w:val="18"/>
                <w:highlight w:val="none"/>
                <w:lang w:val="en-US" w:eastAsia="zh-CN"/>
              </w:rPr>
              <w:t>趣配音</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网易有道词典</w:t>
            </w:r>
            <w:r>
              <w:rPr>
                <w:rFonts w:hint="eastAsia" w:ascii="Times New Roman" w:hAnsi="Times New Roman" w:eastAsia="宋体" w:cs="宋体"/>
                <w:bCs/>
                <w:color w:val="auto"/>
                <w:sz w:val="18"/>
                <w:szCs w:val="18"/>
                <w:highlight w:val="none"/>
              </w:rPr>
              <w:t>等。</w:t>
            </w:r>
          </w:p>
          <w:p w14:paraId="6A51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w:t>
            </w:r>
            <w:r>
              <w:rPr>
                <w:rFonts w:hint="eastAsia" w:ascii="Times New Roman" w:hAnsi="Times New Roman" w:eastAsia="宋体" w:cs="宋体"/>
                <w:color w:val="auto"/>
                <w:sz w:val="18"/>
                <w:szCs w:val="18"/>
                <w:highlight w:val="none"/>
              </w:rPr>
              <w:t>具有高等教育教师资格证书的专职教师，每位教师均需具备深厚的</w:t>
            </w:r>
            <w:r>
              <w:rPr>
                <w:rFonts w:hint="eastAsia" w:ascii="Times New Roman" w:hAnsi="Times New Roman" w:eastAsia="宋体" w:cs="宋体"/>
                <w:color w:val="auto"/>
                <w:sz w:val="18"/>
                <w:szCs w:val="18"/>
                <w:highlight w:val="none"/>
                <w:lang w:val="en-US" w:eastAsia="zh-CN"/>
              </w:rPr>
              <w:t>英语</w:t>
            </w:r>
            <w:r>
              <w:rPr>
                <w:rFonts w:hint="eastAsia" w:ascii="Times New Roman" w:hAnsi="Times New Roman" w:eastAsia="宋体" w:cs="宋体"/>
                <w:color w:val="auto"/>
                <w:sz w:val="18"/>
                <w:szCs w:val="18"/>
                <w:highlight w:val="none"/>
              </w:rPr>
              <w:t>语言文学功底和丰富的教学经验。团队成员的专业背景应广泛覆盖</w:t>
            </w:r>
            <w:r>
              <w:rPr>
                <w:rFonts w:hint="eastAsia" w:ascii="Times New Roman" w:hAnsi="Times New Roman" w:eastAsia="宋体" w:cs="宋体"/>
                <w:color w:val="auto"/>
                <w:sz w:val="18"/>
                <w:szCs w:val="18"/>
                <w:highlight w:val="none"/>
                <w:lang w:val="en-US" w:eastAsia="zh-CN"/>
              </w:rPr>
              <w:t>英语教育、英语笔译</w:t>
            </w:r>
            <w:r>
              <w:rPr>
                <w:rFonts w:hint="eastAsia" w:ascii="Times New Roman" w:hAnsi="Times New Roman" w:eastAsia="宋体" w:cs="宋体"/>
                <w:color w:val="auto"/>
                <w:sz w:val="18"/>
                <w:szCs w:val="18"/>
                <w:highlight w:val="none"/>
              </w:rPr>
              <w:t>等多个领域，以确保教学内容的丰富性和深度</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 xml:space="preserve"> </w:t>
            </w:r>
          </w:p>
          <w:p w14:paraId="4D531B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5</w:t>
            </w:r>
            <w:r>
              <w:rPr>
                <w:rFonts w:hint="eastAsia" w:ascii="Times New Roman" w:hAnsi="Times New Roman" w:eastAsia="宋体" w:cs="宋体"/>
                <w:bCs/>
                <w:color w:val="auto"/>
                <w:sz w:val="18"/>
                <w:szCs w:val="18"/>
                <w:highlight w:val="none"/>
              </w:rPr>
              <w:t>）考核方式：口语+作文</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w:t>
            </w:r>
            <w:r>
              <w:rPr>
                <w:rFonts w:hint="eastAsia" w:ascii="Times New Roman" w:hAnsi="Times New Roman" w:eastAsia="宋体" w:cs="宋体"/>
                <w:bCs/>
                <w:color w:val="auto"/>
                <w:sz w:val="18"/>
                <w:szCs w:val="18"/>
                <w:highlight w:val="none"/>
              </w:rPr>
              <w:t>考勤+课堂表现+日常作</w:t>
            </w:r>
            <w:r>
              <w:rPr>
                <w:rFonts w:hint="eastAsia" w:ascii="Times New Roman" w:hAnsi="Times New Roman" w:eastAsia="宋体" w:cs="宋体"/>
                <w:bCs/>
                <w:color w:val="auto"/>
                <w:sz w:val="18"/>
                <w:szCs w:val="18"/>
                <w:highlight w:val="none"/>
                <w:lang w:val="en-US" w:eastAsia="zh-CN"/>
              </w:rPr>
              <w:t>业）平时成绩</w:t>
            </w:r>
            <w:r>
              <w:rPr>
                <w:rFonts w:hint="eastAsia" w:ascii="Times New Roman" w:hAnsi="Times New Roman" w:eastAsia="宋体" w:cs="宋体"/>
                <w:bCs/>
                <w:color w:val="auto"/>
                <w:sz w:val="18"/>
                <w:szCs w:val="18"/>
                <w:highlight w:val="none"/>
              </w:rPr>
              <w:t>30%</w:t>
            </w:r>
            <w:r>
              <w:rPr>
                <w:rFonts w:hint="eastAsia" w:ascii="Times New Roman" w:hAnsi="Times New Roman" w:eastAsia="宋体" w:cs="宋体"/>
                <w:bCs/>
                <w:color w:val="auto"/>
                <w:sz w:val="18"/>
                <w:szCs w:val="18"/>
                <w:highlight w:val="none"/>
                <w:lang w:val="en-US" w:eastAsia="zh-CN"/>
              </w:rPr>
              <w:t>+</w:t>
            </w:r>
            <w:r>
              <w:rPr>
                <w:rFonts w:hint="eastAsia" w:ascii="Times New Roman" w:hAnsi="Times New Roman" w:eastAsia="宋体" w:cs="宋体"/>
                <w:bCs/>
                <w:color w:val="auto"/>
                <w:sz w:val="18"/>
                <w:szCs w:val="18"/>
                <w:highlight w:val="none"/>
              </w:rPr>
              <w:t xml:space="preserve"> </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口语35%+作文35%</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期末考试成绩70%</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将课前、课中、课后三个阶段的学习表现纳入过程考核，注重第二课堂学习成果增值性评价，综合评定学生学习效果。</w:t>
            </w:r>
          </w:p>
        </w:tc>
      </w:tr>
      <w:tr w14:paraId="5790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035555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信息技术</w:t>
            </w:r>
          </w:p>
          <w:p w14:paraId="0595799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p>
        </w:tc>
        <w:tc>
          <w:tcPr>
            <w:tcW w:w="2778" w:type="dxa"/>
            <w:noWrap w:val="0"/>
            <w:vAlign w:val="top"/>
          </w:tcPr>
          <w:p w14:paraId="7D46B7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1.知识目标</w:t>
            </w:r>
          </w:p>
          <w:p w14:paraId="7FC16C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19B82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理解信息检索的基本原理与流程，熟悉搜索引擎、知网等平台的使用方法；</w:t>
            </w:r>
          </w:p>
          <w:p w14:paraId="01A462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了解新一代信息技术（人工智能、区块链、5G、量子信息等）的基础概念及典型应用场景。</w:t>
            </w:r>
          </w:p>
          <w:p w14:paraId="14C0D0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2.能力目标</w:t>
            </w:r>
          </w:p>
          <w:p w14:paraId="75A21F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具备使用WPS完成职业场景任务的能力，如制作商务合同、薪资管理表、工作总结演示文稿；</w:t>
            </w:r>
          </w:p>
          <w:p w14:paraId="0B2200D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能够运用信息检索技术获取专业资料，并通过数据分析工具（如数据透视表、分类汇总）处理实际问题；</w:t>
            </w:r>
          </w:p>
          <w:p w14:paraId="2546FF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掌握协同编辑、云端备份等数字化办公技能，适应现代职场协作需求。</w:t>
            </w:r>
          </w:p>
          <w:p w14:paraId="42632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3.素质目标</w:t>
            </w:r>
          </w:p>
          <w:p w14:paraId="0A4A087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培养信息伦理意识，正确辨识网络信息真伪（如“鲁迅名言”真伪辨析任务），遵守信息安全规范；</w:t>
            </w:r>
          </w:p>
          <w:p w14:paraId="5BAFC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强化职业责任感，通过案例实践（如社保计算、数字人民币应用）理解技术与社会责任的关联；</w:t>
            </w:r>
          </w:p>
          <w:p w14:paraId="643252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646C923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课程分为六大项目，覆盖理论与实践：</w:t>
            </w:r>
          </w:p>
          <w:p w14:paraId="180A97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1.文档处理</w:t>
            </w:r>
          </w:p>
          <w:p w14:paraId="29F35B8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任务：制作商铺租赁合同、编排调研报告、毕业论文排版等。</w:t>
            </w:r>
          </w:p>
          <w:p w14:paraId="24222B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技能点：文档加密、修订批注、样式应用、目录生成等。</w:t>
            </w:r>
          </w:p>
          <w:p w14:paraId="442131F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2.电子表格处理</w:t>
            </w:r>
          </w:p>
          <w:p w14:paraId="4BF4844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任务：薪资管理表制作、数据分类汇总、图表与数据透视图分析。</w:t>
            </w:r>
          </w:p>
          <w:p w14:paraId="0F66E3B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技能点：公式函数（SUMIFS、VLOOKUP）、条件格式、数据保护。</w:t>
            </w:r>
          </w:p>
          <w:p w14:paraId="34C7D8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3.演示文稿制作</w:t>
            </w:r>
          </w:p>
          <w:p w14:paraId="690445E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任务：设计“工作总结”演示文稿，设置切换动画与超链接。</w:t>
            </w:r>
          </w:p>
          <w:p w14:paraId="5AEAA1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技能点：母版设计、音频嵌入、打包与放映设置。</w:t>
            </w:r>
          </w:p>
          <w:p w14:paraId="41CB57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4.信息检索</w:t>
            </w:r>
          </w:p>
          <w:p w14:paraId="4F4FF51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任务：检索最新科研信息、使用专业平台获取资料。</w:t>
            </w:r>
          </w:p>
          <w:p w14:paraId="5029260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技能点：检索策略优化、专用平台使用技巧。</w:t>
            </w:r>
          </w:p>
          <w:p w14:paraId="18FD4B7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5.新一代信息技术概述</w:t>
            </w:r>
          </w:p>
          <w:p w14:paraId="51F6EE6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任务：体验物联网应用、人工智能工具操作、区块链技术案例实践。</w:t>
            </w:r>
          </w:p>
          <w:p w14:paraId="77146E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知识点：技术原理、应用场景及社会影响。</w:t>
            </w:r>
          </w:p>
          <w:p w14:paraId="3BA7C80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6.信息素养与社会责任</w:t>
            </w:r>
          </w:p>
          <w:p w14:paraId="3DBC63A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任务：线上会议操作、信息安全案例分析、职业场景模拟训练。</w:t>
            </w:r>
          </w:p>
          <w:p w14:paraId="29D343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重点：信息伦理、职业自律、终身学习意识培养。</w:t>
            </w:r>
          </w:p>
        </w:tc>
        <w:tc>
          <w:tcPr>
            <w:tcW w:w="2778" w:type="dxa"/>
            <w:noWrap w:val="0"/>
            <w:vAlign w:val="top"/>
          </w:tcPr>
          <w:p w14:paraId="478F90C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1</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教学模式</w:t>
            </w:r>
          </w:p>
          <w:p w14:paraId="7BC38AA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任务驱动：通过“任务工单”引导学习流程（任务描述→分组讨论→实施→评价），强调实践导向。</w:t>
            </w:r>
          </w:p>
          <w:p w14:paraId="233A872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混合式教学：结合微课资源与线下实训，支持分层学习。</w:t>
            </w:r>
          </w:p>
          <w:p w14:paraId="5E9FD0B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2</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教学条件</w:t>
            </w:r>
          </w:p>
          <w:p w14:paraId="2BD03C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硬件：配备WPS2019软件的计算机实验室，支持云端协作与数据备份。</w:t>
            </w:r>
          </w:p>
          <w:p w14:paraId="747A2D6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软件：需安装办公软件、安全工具、线上会议平台等，适配课程任务需求。</w:t>
            </w:r>
          </w:p>
          <w:p w14:paraId="0503212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3</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教学方法</w:t>
            </w:r>
          </w:p>
          <w:p w14:paraId="20FBA01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案例教学：以真实职业场景（如企业简介制作、招聘启事协同编辑）为案例，提升应用能力。</w:t>
            </w:r>
          </w:p>
          <w:p w14:paraId="2D6C36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分组协作：通过小组讨论与协同文档编辑任务培养团队合作能力。</w:t>
            </w:r>
          </w:p>
          <w:p w14:paraId="70D021B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4</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教师要求</w:t>
            </w:r>
          </w:p>
          <w:p w14:paraId="489B354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熟练掌握WPS高级功能（如邮件合并、数据透视表），具备跨学科案例设计能力。</w:t>
            </w:r>
          </w:p>
          <w:p w14:paraId="099123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能够运用评分软件进行过程性评价。</w:t>
            </w:r>
          </w:p>
          <w:p w14:paraId="7C48FDB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5</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考核方式</w:t>
            </w:r>
          </w:p>
          <w:p w14:paraId="3AA3594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过程性考核（50%）：实验报告、小组项目、课堂参与度。</w:t>
            </w:r>
          </w:p>
          <w:p w14:paraId="482C7A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终结性考核（50%）：</w:t>
            </w:r>
          </w:p>
          <w:p w14:paraId="008B100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理论考试：覆盖信息技术基础概念、伦理规范等。</w:t>
            </w:r>
          </w:p>
          <w:p w14:paraId="06B1FF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b/>
                <w:bCs/>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实操考试：限时完成综合任务（如制作数据分析报告及配套演示文稿）。</w:t>
            </w:r>
          </w:p>
        </w:tc>
      </w:tr>
      <w:tr w14:paraId="36D7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15CD45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人工智能与应用</w:t>
            </w:r>
          </w:p>
        </w:tc>
        <w:tc>
          <w:tcPr>
            <w:tcW w:w="2778" w:type="dxa"/>
            <w:noWrap w:val="0"/>
            <w:vAlign w:val="top"/>
          </w:tcPr>
          <w:p w14:paraId="7C16E7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1.知识目标</w:t>
            </w:r>
          </w:p>
          <w:p w14:paraId="5DB605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掌握人工智能的基本概念、发展简史及前沿技术（如知识图谱、深度学习、自然语言处理等）；</w:t>
            </w:r>
          </w:p>
          <w:p w14:paraId="060144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2E1125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熟悉人工智能在典型领域的应用场景，如智能制造、医疗、交通、教育。</w:t>
            </w:r>
          </w:p>
          <w:p w14:paraId="7A476F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2.能力目标</w:t>
            </w:r>
          </w:p>
          <w:p w14:paraId="0DF752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能够运用人工智能技术分析和解决实际工程问题（如设计智能分拣系统、故障诊断系统）；</w:t>
            </w:r>
          </w:p>
          <w:p w14:paraId="03C51E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2AE83F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具备跨学科协作能力，能将人工智能思维迁移到专业领域（如材料科学、建筑设计）。</w:t>
            </w:r>
          </w:p>
          <w:p w14:paraId="4F2E7B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3.素质目标</w:t>
            </w:r>
          </w:p>
          <w:p w14:paraId="2708664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培养科学伦理意识，关注人工智能技术的社会影响（如隐私、安全、就业）。</w:t>
            </w:r>
          </w:p>
          <w:p w14:paraId="39BC678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强化创新精神和团队协作能力，通过项目实践培养解决复杂问题的综合素养；</w:t>
            </w:r>
          </w:p>
          <w:p w14:paraId="5A71A8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1C377C3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课程内容通常分为理论模块与应用模块，涵盖以下主题：</w:t>
            </w:r>
          </w:p>
          <w:p w14:paraId="7FB1B1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1.基础理论</w:t>
            </w:r>
          </w:p>
          <w:p w14:paraId="4BD2BC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人工智能概述：概念、历史、研究领域与伦理。</w:t>
            </w:r>
          </w:p>
          <w:p w14:paraId="07A326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知识表示与推理：一阶谓词逻辑、产生式规则、框架表示、知识图谱。</w:t>
            </w:r>
          </w:p>
          <w:p w14:paraId="198B41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搜索与优化算法：状态空间搜索、遗传算法、粒子群优化。</w:t>
            </w:r>
          </w:p>
          <w:p w14:paraId="14ECDA3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2.技术方法</w:t>
            </w:r>
          </w:p>
          <w:p w14:paraId="4C6FE9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机器学习：监督学习（线性回归、分类器）、无监督学习（聚类算法）。</w:t>
            </w:r>
          </w:p>
          <w:p w14:paraId="6C26C7E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神经网络与深度学习：BP网络、卷积神经网络（CNN）、生成对抗网络（GAN）。</w:t>
            </w:r>
          </w:p>
          <w:p w14:paraId="3D7D39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自然语言处理：语音识别、语义分析、机器翻译。</w:t>
            </w:r>
          </w:p>
          <w:p w14:paraId="020929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3.应用实践</w:t>
            </w:r>
          </w:p>
          <w:p w14:paraId="1BDD14F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行业应用案例：AI+制造（工艺优化）、AI+医疗（疾病诊断）、AI+教育（个性化推荐）。</w:t>
            </w:r>
          </w:p>
          <w:p w14:paraId="2C13D0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137B25B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1</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教学模式</w:t>
            </w:r>
          </w:p>
          <w:p w14:paraId="4E5654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5BAB04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2</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教学条件</w:t>
            </w:r>
          </w:p>
          <w:p w14:paraId="1ACC12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硬件设施：需配备智能实验室（如人形机器人、AI体测系统）及云计算资源。</w:t>
            </w:r>
          </w:p>
          <w:p w14:paraId="1ECA00A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软件工具：常用开发框架（TensorFlow、PyTorch）、云平台接口（百度/讯飞智能云）。</w:t>
            </w:r>
          </w:p>
          <w:p w14:paraId="5CFCD31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3</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教学方法</w:t>
            </w:r>
          </w:p>
          <w:p w14:paraId="3E6EA1A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案例驱动教学：通过真实科研项目转化的案例（如“海洋生态系统模拟”）引导学生模仿与创新。</w:t>
            </w:r>
          </w:p>
          <w:p w14:paraId="76B284F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问题导向学习（PBL）：以实际工程问题（如“自动驾驶路径规划”）为任务，推动自主探究。</w:t>
            </w:r>
          </w:p>
          <w:p w14:paraId="6D4122C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4</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教师要求</w:t>
            </w:r>
          </w:p>
          <w:p w14:paraId="509F5D3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需具备人工智能跨学科知识及项目开发经验，能够将科研转化为教学案例。</w:t>
            </w:r>
          </w:p>
          <w:p w14:paraId="2777D87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掌握课程思政设计能力，例如通过“专家系统”案例讨论科学求真精神。</w:t>
            </w:r>
          </w:p>
          <w:p w14:paraId="6A9C89F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5</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考核方式</w:t>
            </w:r>
          </w:p>
          <w:p w14:paraId="210A08C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过程性评价（40</w:t>
            </w:r>
            <w:r>
              <w:rPr>
                <w:rFonts w:hint="eastAsia" w:ascii="Times New Roman" w:hAnsi="Times New Roman" w:eastAsia="宋体" w:cs="宋体"/>
                <w:b w:val="0"/>
                <w:color w:val="auto"/>
                <w:sz w:val="18"/>
                <w:szCs w:val="18"/>
                <w:highlight w:val="none"/>
                <w:lang w:val="en-US" w:eastAsia="zh-CN"/>
              </w:rPr>
              <w:t>-</w:t>
            </w:r>
            <w:r>
              <w:rPr>
                <w:rFonts w:hint="eastAsia" w:ascii="Times New Roman" w:hAnsi="Times New Roman" w:eastAsia="宋体" w:cs="宋体"/>
                <w:b w:val="0"/>
                <w:color w:val="auto"/>
                <w:sz w:val="18"/>
                <w:szCs w:val="18"/>
                <w:highlight w:val="none"/>
              </w:rPr>
              <w:t>50%）：包括课堂互动、实验报告、小组项目（如开发智能推荐系统）。</w:t>
            </w:r>
          </w:p>
          <w:p w14:paraId="06A4E5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终结性评价（50</w:t>
            </w:r>
            <w:r>
              <w:rPr>
                <w:rFonts w:hint="eastAsia" w:ascii="Times New Roman" w:hAnsi="Times New Roman" w:eastAsia="宋体" w:cs="宋体"/>
                <w:b w:val="0"/>
                <w:color w:val="auto"/>
                <w:sz w:val="18"/>
                <w:szCs w:val="18"/>
                <w:highlight w:val="none"/>
                <w:lang w:val="en-US" w:eastAsia="zh-CN"/>
              </w:rPr>
              <w:t>-</w:t>
            </w:r>
            <w:r>
              <w:rPr>
                <w:rFonts w:hint="eastAsia" w:ascii="Times New Roman" w:hAnsi="Times New Roman" w:eastAsia="宋体" w:cs="宋体"/>
                <w:b w:val="0"/>
                <w:color w:val="auto"/>
                <w:sz w:val="18"/>
                <w:szCs w:val="18"/>
                <w:highlight w:val="none"/>
              </w:rPr>
              <w:t>60%）：采用笔试（理论考核）、论文（技术综述）或实践作品（如AI应用原型）。</w:t>
            </w:r>
          </w:p>
          <w:p w14:paraId="065B919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创新加分：鼓励参与竞赛（如机器人竞赛、编程设计赛）并纳入成绩评定。</w:t>
            </w:r>
          </w:p>
        </w:tc>
      </w:tr>
      <w:tr w14:paraId="40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AB6F28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
                <w:bCs/>
                <w:color w:val="auto"/>
                <w:sz w:val="18"/>
                <w:szCs w:val="18"/>
                <w:highlight w:val="none"/>
              </w:rPr>
              <w:t>国家安全教育</w:t>
            </w:r>
          </w:p>
        </w:tc>
        <w:tc>
          <w:tcPr>
            <w:tcW w:w="2778" w:type="dxa"/>
            <w:noWrap w:val="0"/>
            <w:vAlign w:val="top"/>
          </w:tcPr>
          <w:p w14:paraId="1FAA249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（3）了解政治、军事、经济等重要领域安全及深海、极地、太空和生物等</w:t>
            </w:r>
            <w:r>
              <w:rPr>
                <w:rFonts w:hint="eastAsia" w:ascii="Times New Roman" w:hAnsi="Times New Roman" w:eastAsia="宋体" w:cs="宋体"/>
                <w:bCs/>
                <w:color w:val="auto"/>
                <w:sz w:val="18"/>
                <w:szCs w:val="18"/>
                <w:highlight w:val="none"/>
                <w:lang w:eastAsia="zh-CN"/>
              </w:rPr>
              <w:t>新型</w:t>
            </w:r>
            <w:r>
              <w:rPr>
                <w:rFonts w:hint="eastAsia" w:ascii="Times New Roman" w:hAnsi="Times New Roman" w:eastAsia="宋体" w:cs="宋体"/>
                <w:bCs/>
                <w:color w:val="auto"/>
                <w:sz w:val="18"/>
                <w:szCs w:val="18"/>
                <w:highlight w:val="none"/>
              </w:rPr>
              <w:t>领域安全的内涵、内容、面临的威胁和挑战、维护各领域国家安全的途径与方法。</w:t>
            </w:r>
          </w:p>
          <w:p w14:paraId="6189D28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（4）掌握国家安全法律法规，熟悉国家安全应变机制，自觉履行维护国家安全责任。</w:t>
            </w:r>
          </w:p>
          <w:p w14:paraId="768C064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047BA2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57CC9A9F">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（1）国家安全概念、内涵、重要性，维护国家安全的基本措施，国家安全教育及其内涵，大学生国家安全教育的意义。</w:t>
            </w:r>
          </w:p>
          <w:p w14:paraId="51ED782D">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（2）我国新时代国家安全的形势与特点，总体国家安全观的形成背景、基本内容、丰富内涵及伟大意义。</w:t>
            </w:r>
          </w:p>
          <w:p w14:paraId="1CC6AD03">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（3）政治、军事、经济等重要领域安全及深海、极地、太空和生物等</w:t>
            </w:r>
            <w:r>
              <w:rPr>
                <w:rFonts w:hint="eastAsia" w:ascii="Times New Roman" w:hAnsi="Times New Roman" w:eastAsia="宋体" w:cs="宋体"/>
                <w:bCs/>
                <w:color w:val="auto"/>
                <w:sz w:val="18"/>
                <w:szCs w:val="18"/>
                <w:highlight w:val="none"/>
                <w:lang w:eastAsia="zh-CN"/>
              </w:rPr>
              <w:t>新型</w:t>
            </w:r>
            <w:r>
              <w:rPr>
                <w:rFonts w:hint="eastAsia" w:ascii="Times New Roman" w:hAnsi="Times New Roman" w:eastAsia="宋体" w:cs="宋体"/>
                <w:bCs/>
                <w:color w:val="auto"/>
                <w:sz w:val="18"/>
                <w:szCs w:val="18"/>
                <w:highlight w:val="none"/>
              </w:rPr>
              <w:t>领域安全的内涵、内容、面临的威胁和挑战、维护各领域国家安全的途径与方法。</w:t>
            </w:r>
          </w:p>
          <w:p w14:paraId="542939C7">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（4）维护国家安全的制度体系和保障机制。</w:t>
            </w:r>
          </w:p>
          <w:p w14:paraId="3FEAEBE1">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（5）国家安全法律法规，努力践行总体国家安全观。</w:t>
            </w:r>
          </w:p>
          <w:p w14:paraId="5B697E18">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3DDDBE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（2）教学条件：多媒体教室和智慧校园平台。</w:t>
            </w:r>
          </w:p>
          <w:p w14:paraId="1723301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（4）教师要求：政治立场坚定，要关注时政要闻及国家安全动态，及时把最新的文件精神融入教学内容。</w:t>
            </w:r>
          </w:p>
          <w:p w14:paraId="271E9D3A">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Times New Roman" w:hAnsi="Times New Roman" w:eastAsia="宋体" w:cs="宋体"/>
                <w:b w:val="0"/>
                <w:color w:val="auto"/>
                <w:kern w:val="2"/>
                <w:sz w:val="18"/>
                <w:szCs w:val="18"/>
                <w:highlight w:val="none"/>
                <w:lang w:val="en-US" w:eastAsia="zh-CN" w:bidi="ar-SA"/>
              </w:rPr>
            </w:pPr>
            <w:r>
              <w:rPr>
                <w:rFonts w:hint="eastAsia" w:ascii="Times New Roman" w:hAnsi="Times New Roman" w:eastAsia="宋体" w:cs="宋体"/>
                <w:b w:val="0"/>
                <w:bCs/>
                <w:color w:val="auto"/>
                <w:sz w:val="18"/>
                <w:szCs w:val="18"/>
                <w:highlight w:val="none"/>
              </w:rPr>
              <w:t>（5）考核方式：采取过程考核（</w:t>
            </w:r>
            <w:r>
              <w:rPr>
                <w:rFonts w:hint="eastAsia" w:ascii="Times New Roman" w:hAnsi="Times New Roman" w:eastAsia="宋体" w:cs="宋体"/>
                <w:b w:val="0"/>
                <w:bCs/>
                <w:color w:val="auto"/>
                <w:sz w:val="18"/>
                <w:szCs w:val="18"/>
                <w:highlight w:val="none"/>
                <w:lang w:val="en-US" w:eastAsia="zh-CN"/>
              </w:rPr>
              <w:t>3</w:t>
            </w:r>
            <w:r>
              <w:rPr>
                <w:rFonts w:hint="eastAsia" w:ascii="Times New Roman" w:hAnsi="Times New Roman" w:eastAsia="宋体" w:cs="宋体"/>
                <w:b w:val="0"/>
                <w:bCs/>
                <w:color w:val="auto"/>
                <w:sz w:val="18"/>
                <w:szCs w:val="18"/>
                <w:highlight w:val="none"/>
              </w:rPr>
              <w:t>0%）+期末测评（</w:t>
            </w:r>
            <w:r>
              <w:rPr>
                <w:rFonts w:hint="eastAsia" w:ascii="Times New Roman" w:hAnsi="Times New Roman" w:eastAsia="宋体" w:cs="宋体"/>
                <w:b w:val="0"/>
                <w:bCs/>
                <w:color w:val="auto"/>
                <w:sz w:val="18"/>
                <w:szCs w:val="18"/>
                <w:highlight w:val="none"/>
                <w:lang w:val="en-US" w:eastAsia="zh-CN"/>
              </w:rPr>
              <w:t>7</w:t>
            </w:r>
            <w:r>
              <w:rPr>
                <w:rFonts w:hint="eastAsia" w:ascii="Times New Roman" w:hAnsi="Times New Roman" w:eastAsia="宋体" w:cs="宋体"/>
                <w:b w:val="0"/>
                <w:bCs/>
                <w:color w:val="auto"/>
                <w:sz w:val="18"/>
                <w:szCs w:val="18"/>
                <w:highlight w:val="none"/>
              </w:rPr>
              <w:t>0%）评定学习效果。</w:t>
            </w:r>
          </w:p>
        </w:tc>
      </w:tr>
      <w:tr w14:paraId="1B1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611E014C">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大学语文</w:t>
            </w:r>
          </w:p>
          <w:p w14:paraId="0B8B2DE3">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shd w:val="clear" w:color="auto" w:fill="auto"/>
            <w:noWrap w:val="0"/>
            <w:vAlign w:val="top"/>
          </w:tcPr>
          <w:p w14:paraId="5C45487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0A7993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563316D7">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Times New Roman" w:hAnsi="Times New Roman" w:eastAsia="宋体" w:cs="宋体"/>
                <w:b/>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0F0B3C8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上篇 阅读欣赏能力培养</w:t>
            </w:r>
          </w:p>
          <w:p w14:paraId="1A57933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（1）诗歌及其作品赏析 </w:t>
            </w:r>
          </w:p>
          <w:p w14:paraId="56258AF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（2）小说及其作品赏析 </w:t>
            </w:r>
          </w:p>
          <w:p w14:paraId="05C7CCB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（3）散文及其作品赏析  </w:t>
            </w:r>
          </w:p>
          <w:p w14:paraId="5DBEB10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（4）戏剧及其作品赏析  </w:t>
            </w:r>
          </w:p>
          <w:p w14:paraId="19FAFEB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中篇 应用文写作</w:t>
            </w:r>
          </w:p>
          <w:p w14:paraId="2B37ED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（1）日常文书  </w:t>
            </w:r>
          </w:p>
          <w:p w14:paraId="156D937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（2）事务文书</w:t>
            </w:r>
          </w:p>
          <w:p w14:paraId="67A3DCA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（3）公务文书</w:t>
            </w:r>
          </w:p>
          <w:p w14:paraId="565C4BD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下篇 沟通表达</w:t>
            </w:r>
          </w:p>
          <w:p w14:paraId="248AD6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（1）普通话基础训练 </w:t>
            </w:r>
          </w:p>
          <w:p w14:paraId="2E73797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（2）日常沟通 </w:t>
            </w:r>
          </w:p>
          <w:p w14:paraId="661821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（3）面试口才  </w:t>
            </w:r>
          </w:p>
          <w:p w14:paraId="77216C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F38E85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（2）教学条件：多媒体教室、智慧校园平台等。</w:t>
            </w:r>
          </w:p>
          <w:p w14:paraId="08544A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37BE03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01F68F2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（5）考核方式：采取过程考核（30%）+期末测评（70%）评定学习效果。</w:t>
            </w:r>
          </w:p>
        </w:tc>
      </w:tr>
      <w:tr w14:paraId="1D1A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D0B7E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
                <w:bCs/>
                <w:color w:val="auto"/>
                <w:sz w:val="18"/>
                <w:szCs w:val="18"/>
                <w:highlight w:val="none"/>
              </w:rPr>
              <w:t>艺术类课程</w:t>
            </w:r>
          </w:p>
        </w:tc>
        <w:tc>
          <w:tcPr>
            <w:tcW w:w="2778" w:type="dxa"/>
            <w:noWrap w:val="0"/>
            <w:vAlign w:val="top"/>
          </w:tcPr>
          <w:p w14:paraId="07E66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（1）引导学生以社会主义核心价值观为学习内容，树立正确人生观、价值观。</w:t>
            </w:r>
          </w:p>
          <w:p w14:paraId="1A2964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（2）引导大学生系统地了解艺术范畴、指导学生进行艺术欣赏。</w:t>
            </w:r>
          </w:p>
          <w:p w14:paraId="55B764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（3）通过艺术类课程鉴赏、学习相关理论，使学生树立正确的审美观念，培养高雅的审美品位，提高人文素养。</w:t>
            </w:r>
          </w:p>
          <w:p w14:paraId="312C3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（4）了解、吸纳中外优秀艺术成果，理解并尊重多元文化。</w:t>
            </w:r>
          </w:p>
          <w:p w14:paraId="2CA63BF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（5）拓展形象思维，培养创作精神和实践能力，提高艺术审美与鉴赏能力。</w:t>
            </w:r>
          </w:p>
          <w:p w14:paraId="37C80D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（6）每个非艺术类专业学生</w:t>
            </w:r>
            <w:r>
              <w:rPr>
                <w:rFonts w:hint="eastAsia" w:ascii="Times New Roman" w:hAnsi="Times New Roman" w:eastAsia="宋体" w:cs="宋体"/>
                <w:bCs/>
                <w:color w:val="auto"/>
                <w:sz w:val="18"/>
                <w:szCs w:val="18"/>
                <w:highlight w:val="none"/>
                <w:lang w:val="en-US" w:eastAsia="zh-CN"/>
              </w:rPr>
              <w:t>在开设的8门课程中</w:t>
            </w:r>
            <w:r>
              <w:rPr>
                <w:rFonts w:hint="eastAsia" w:ascii="Times New Roman" w:hAnsi="Times New Roman" w:eastAsia="宋体" w:cs="宋体"/>
                <w:bCs/>
                <w:color w:val="auto"/>
                <w:sz w:val="18"/>
                <w:szCs w:val="18"/>
                <w:highlight w:val="none"/>
              </w:rPr>
              <w:t>至少选修1门课程。</w:t>
            </w:r>
          </w:p>
          <w:p w14:paraId="7A01F174">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4A541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（1）《美术鉴赏》</w:t>
            </w:r>
            <w:r>
              <w:rPr>
                <w:rFonts w:hint="eastAsia" w:ascii="Times New Roman" w:hAnsi="Times New Roman" w:eastAsia="宋体" w:cs="宋体"/>
                <w:color w:val="auto"/>
                <w:sz w:val="18"/>
                <w:szCs w:val="18"/>
                <w:highlight w:val="none"/>
                <w:lang w:val="en-US" w:eastAsia="zh-CN"/>
              </w:rPr>
              <w:t>课程</w:t>
            </w:r>
            <w:r>
              <w:rPr>
                <w:rFonts w:hint="eastAsia" w:ascii="Times New Roman" w:hAnsi="Times New Roman"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Times New Roman" w:hAnsi="Times New Roman" w:eastAsia="宋体" w:cs="宋体"/>
                <w:color w:val="auto"/>
                <w:sz w:val="18"/>
                <w:szCs w:val="18"/>
                <w:highlight w:val="none"/>
                <w:lang w:val="en-US" w:eastAsia="zh-CN"/>
              </w:rPr>
              <w:t>学生</w:t>
            </w:r>
            <w:r>
              <w:rPr>
                <w:rFonts w:hint="eastAsia" w:ascii="Times New Roman" w:hAnsi="Times New Roman" w:eastAsia="宋体" w:cs="宋体"/>
                <w:color w:val="auto"/>
                <w:sz w:val="18"/>
                <w:szCs w:val="18"/>
                <w:highlight w:val="none"/>
              </w:rPr>
              <w:t>人文素养与跨文化理解力。</w:t>
            </w:r>
          </w:p>
          <w:p w14:paraId="112BF3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（2）《音乐鉴赏》课程</w:t>
            </w:r>
            <w:r>
              <w:rPr>
                <w:rFonts w:hint="eastAsia" w:ascii="Times New Roman" w:hAnsi="Times New Roman" w:eastAsia="宋体" w:cs="宋体"/>
                <w:color w:val="auto"/>
                <w:sz w:val="18"/>
                <w:szCs w:val="18"/>
                <w:highlight w:val="none"/>
              </w:rPr>
              <w:t>旨在帮助学生掌握音乐基本构成与记录方式</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了解</w:t>
            </w:r>
            <w:r>
              <w:rPr>
                <w:rFonts w:hint="eastAsia" w:ascii="Times New Roman" w:hAnsi="Times New Roman"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Times New Roman" w:hAnsi="Times New Roman" w:eastAsia="宋体" w:cs="宋体"/>
                <w:color w:val="auto"/>
                <w:sz w:val="18"/>
                <w:szCs w:val="18"/>
                <w:highlight w:val="none"/>
                <w:lang w:val="en-US" w:eastAsia="zh-CN"/>
              </w:rPr>
              <w:t>并</w:t>
            </w:r>
            <w:r>
              <w:rPr>
                <w:rFonts w:hint="eastAsia" w:ascii="Times New Roman" w:hAnsi="Times New Roman" w:eastAsia="宋体" w:cs="宋体"/>
                <w:color w:val="auto"/>
                <w:sz w:val="18"/>
                <w:szCs w:val="18"/>
                <w:highlight w:val="none"/>
                <w:lang w:eastAsia="zh-CN"/>
              </w:rPr>
              <w:t>通过对经典作品赏析，结合现场表演欣赏，提升学生音乐感知与鉴赏能力，</w:t>
            </w:r>
            <w:r>
              <w:rPr>
                <w:rFonts w:hint="eastAsia" w:ascii="Times New Roman" w:hAnsi="Times New Roman" w:eastAsia="宋体" w:cs="宋体"/>
                <w:color w:val="auto"/>
                <w:sz w:val="18"/>
                <w:szCs w:val="18"/>
                <w:highlight w:val="none"/>
              </w:rPr>
              <w:t>激发学生热爱生活、热爱自然的情感。</w:t>
            </w:r>
          </w:p>
          <w:p w14:paraId="413BF4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color w:val="auto"/>
                <w:sz w:val="18"/>
                <w:szCs w:val="18"/>
                <w:highlight w:val="none"/>
              </w:rPr>
            </w:pPr>
            <w:r>
              <w:rPr>
                <w:rFonts w:hint="eastAsia" w:ascii="Times New Roman" w:hAnsi="Times New Roman" w:eastAsia="宋体" w:cs="宋体"/>
                <w:bCs/>
                <w:color w:val="auto"/>
                <w:sz w:val="18"/>
                <w:szCs w:val="18"/>
                <w:highlight w:val="none"/>
              </w:rPr>
              <w:t>（3）《影视鉴赏》课程</w:t>
            </w:r>
            <w:r>
              <w:rPr>
                <w:rFonts w:hint="eastAsia" w:ascii="Times New Roman" w:hAnsi="Times New Roman"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使学生了解有关常识，懂得如何欣赏戏剧。</w:t>
            </w:r>
          </w:p>
          <w:p w14:paraId="6289F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color w:val="auto"/>
                <w:sz w:val="18"/>
                <w:szCs w:val="18"/>
                <w:highlight w:val="none"/>
              </w:rPr>
              <w:t>（5）《舞蹈鉴赏》课</w:t>
            </w:r>
            <w:r>
              <w:rPr>
                <w:rFonts w:hint="eastAsia" w:ascii="Times New Roman" w:hAnsi="Times New Roman"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Times New Roman" w:hAnsi="Times New Roman" w:eastAsia="宋体" w:cs="宋体"/>
                <w:bCs/>
                <w:color w:val="auto"/>
                <w:sz w:val="18"/>
                <w:szCs w:val="18"/>
                <w:highlight w:val="none"/>
                <w:lang w:val="en-US" w:eastAsia="zh-CN"/>
              </w:rPr>
              <w:t>并</w:t>
            </w:r>
            <w:r>
              <w:rPr>
                <w:rFonts w:hint="eastAsia" w:ascii="Times New Roman" w:hAnsi="Times New Roman" w:eastAsia="宋体" w:cs="宋体"/>
                <w:bCs/>
                <w:color w:val="auto"/>
                <w:sz w:val="18"/>
                <w:szCs w:val="18"/>
                <w:highlight w:val="none"/>
              </w:rPr>
              <w:t>通过欣赏分析中外优秀舞蹈作品，</w:t>
            </w:r>
            <w:r>
              <w:rPr>
                <w:rFonts w:hint="eastAsia" w:ascii="Times New Roman" w:hAnsi="Times New Roman" w:eastAsia="宋体" w:cs="宋体"/>
                <w:bCs/>
                <w:color w:val="auto"/>
                <w:sz w:val="18"/>
                <w:szCs w:val="18"/>
                <w:highlight w:val="none"/>
                <w:lang w:val="en-US" w:eastAsia="zh-CN"/>
              </w:rPr>
              <w:t>使学生</w:t>
            </w:r>
            <w:r>
              <w:rPr>
                <w:rFonts w:hint="eastAsia" w:ascii="Times New Roman" w:hAnsi="Times New Roman" w:eastAsia="宋体" w:cs="宋体"/>
                <w:bCs/>
                <w:color w:val="auto"/>
                <w:sz w:val="18"/>
                <w:szCs w:val="18"/>
                <w:highlight w:val="none"/>
              </w:rPr>
              <w:t>了解各国及民族的历史文化民族风情，理解尊重多元文化</w:t>
            </w:r>
            <w:r>
              <w:rPr>
                <w:rFonts w:hint="eastAsia" w:ascii="Times New Roman" w:hAnsi="Times New Roman" w:eastAsia="宋体" w:cs="宋体"/>
                <w:bCs/>
                <w:color w:val="auto"/>
                <w:sz w:val="18"/>
                <w:szCs w:val="18"/>
                <w:highlight w:val="none"/>
                <w:lang w:eastAsia="zh-CN"/>
              </w:rPr>
              <w:t>。</w:t>
            </w:r>
          </w:p>
          <w:p w14:paraId="1114D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i w:val="0"/>
                <w:iCs w:val="0"/>
                <w:caps w:val="0"/>
                <w:color w:val="auto"/>
                <w:spacing w:val="0"/>
                <w:sz w:val="18"/>
                <w:szCs w:val="18"/>
                <w:highlight w:val="none"/>
                <w:shd w:val="clear" w:fill="F7F2EB"/>
              </w:rPr>
            </w:pPr>
            <w:r>
              <w:rPr>
                <w:rFonts w:hint="eastAsia" w:ascii="Times New Roman" w:hAnsi="Times New Roman" w:eastAsia="宋体" w:cs="宋体"/>
                <w:bCs/>
                <w:color w:val="auto"/>
                <w:sz w:val="18"/>
                <w:szCs w:val="18"/>
                <w:highlight w:val="none"/>
              </w:rPr>
              <w:t>（6）《书法鉴赏》</w:t>
            </w:r>
            <w:r>
              <w:rPr>
                <w:rFonts w:hint="eastAsia" w:ascii="Times New Roman" w:hAnsi="Times New Roman"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Times New Roman" w:hAnsi="Times New Roman" w:eastAsia="宋体" w:cs="宋体"/>
                <w:color w:val="auto"/>
                <w:sz w:val="18"/>
                <w:szCs w:val="18"/>
                <w:highlight w:val="none"/>
                <w:lang w:val="en-US" w:eastAsia="zh-CN"/>
              </w:rPr>
              <w:t>学生</w:t>
            </w:r>
            <w:r>
              <w:rPr>
                <w:rFonts w:hint="eastAsia" w:ascii="Times New Roman" w:hAnsi="Times New Roman" w:eastAsia="宋体" w:cs="宋体"/>
                <w:color w:val="auto"/>
                <w:sz w:val="18"/>
                <w:szCs w:val="18"/>
                <w:highlight w:val="none"/>
              </w:rPr>
              <w:t>审美素养与传统文化理解力。</w:t>
            </w:r>
          </w:p>
          <w:p w14:paraId="43D849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7</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艺术导论</w:t>
            </w:r>
            <w:r>
              <w:rPr>
                <w:rFonts w:hint="eastAsia" w:ascii="Times New Roman" w:hAnsi="Times New Roman" w:eastAsia="宋体" w:cs="宋体"/>
                <w:bCs/>
                <w:color w:val="auto"/>
                <w:sz w:val="18"/>
                <w:szCs w:val="18"/>
                <w:highlight w:val="none"/>
                <w:lang w:eastAsia="zh-CN"/>
              </w:rPr>
              <w:t>》课程</w:t>
            </w:r>
            <w:r>
              <w:rPr>
                <w:rFonts w:hint="eastAsia" w:ascii="Times New Roman" w:hAnsi="Times New Roman"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58B741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8</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钧瓷鉴赏</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9BF2D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9B7BE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（2）教学条件：多媒体教室</w:t>
            </w:r>
            <w:r>
              <w:rPr>
                <w:rFonts w:hint="eastAsia" w:ascii="Times New Roman" w:hAnsi="Times New Roman" w:eastAsia="宋体" w:cs="宋体"/>
                <w:bCs/>
                <w:color w:val="auto"/>
                <w:sz w:val="18"/>
                <w:szCs w:val="18"/>
                <w:highlight w:val="none"/>
                <w:lang w:eastAsia="zh-CN"/>
              </w:rPr>
              <w:t>、教材与参考书籍、</w:t>
            </w:r>
            <w:r>
              <w:rPr>
                <w:rFonts w:hint="eastAsia" w:ascii="Times New Roman" w:hAnsi="Times New Roman" w:eastAsia="宋体" w:cs="宋体"/>
                <w:bCs/>
                <w:color w:val="auto"/>
                <w:sz w:val="18"/>
                <w:szCs w:val="18"/>
                <w:highlight w:val="none"/>
                <w:lang w:val="en-US" w:eastAsia="zh-CN"/>
              </w:rPr>
              <w:t>校内</w:t>
            </w:r>
            <w:r>
              <w:rPr>
                <w:rFonts w:hint="eastAsia" w:ascii="Times New Roman" w:hAnsi="Times New Roman" w:eastAsia="宋体" w:cs="宋体"/>
                <w:bCs/>
                <w:color w:val="auto"/>
                <w:sz w:val="18"/>
                <w:szCs w:val="18"/>
                <w:highlight w:val="none"/>
              </w:rPr>
              <w:t>艺术展示区域</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在线艺术资源平台</w:t>
            </w:r>
            <w:r>
              <w:rPr>
                <w:rFonts w:hint="eastAsia" w:ascii="Times New Roman" w:hAnsi="Times New Roman" w:eastAsia="宋体" w:cs="宋体"/>
                <w:bCs/>
                <w:color w:val="auto"/>
                <w:sz w:val="18"/>
                <w:szCs w:val="18"/>
                <w:highlight w:val="none"/>
                <w:lang w:val="en-US" w:eastAsia="zh-CN"/>
              </w:rPr>
              <w:t>和</w:t>
            </w:r>
            <w:r>
              <w:rPr>
                <w:rFonts w:hint="eastAsia" w:ascii="Times New Roman" w:hAnsi="Times New Roman" w:eastAsia="宋体" w:cs="宋体"/>
                <w:bCs/>
                <w:color w:val="auto"/>
                <w:sz w:val="18"/>
                <w:szCs w:val="18"/>
                <w:highlight w:val="none"/>
              </w:rPr>
              <w:t>艺术活动组织与指导。</w:t>
            </w:r>
          </w:p>
          <w:p w14:paraId="28150E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（3）教学方法：</w:t>
            </w:r>
            <w:r>
              <w:rPr>
                <w:rFonts w:hint="eastAsia" w:ascii="Times New Roman" w:hAnsi="Times New Roman" w:eastAsia="宋体" w:cs="宋体"/>
                <w:bCs/>
                <w:color w:val="auto"/>
                <w:sz w:val="18"/>
                <w:szCs w:val="18"/>
                <w:highlight w:val="none"/>
                <w:lang w:val="en-US" w:eastAsia="zh-CN"/>
              </w:rPr>
              <w:t>讲授法、演示法、实践教学法、</w:t>
            </w:r>
            <w:r>
              <w:rPr>
                <w:rFonts w:hint="eastAsia" w:ascii="Times New Roman" w:hAnsi="Times New Roman" w:eastAsia="宋体" w:cs="宋体"/>
                <w:bCs/>
                <w:color w:val="auto"/>
                <w:sz w:val="18"/>
                <w:szCs w:val="18"/>
                <w:highlight w:val="none"/>
              </w:rPr>
              <w:t>讨论式教学</w:t>
            </w:r>
            <w:r>
              <w:rPr>
                <w:rFonts w:hint="eastAsia" w:ascii="Times New Roman" w:hAnsi="Times New Roman" w:eastAsia="宋体" w:cs="宋体"/>
                <w:bCs/>
                <w:color w:val="auto"/>
                <w:sz w:val="18"/>
                <w:szCs w:val="18"/>
                <w:highlight w:val="none"/>
                <w:lang w:val="en-US" w:eastAsia="zh-CN"/>
              </w:rPr>
              <w:t>法</w:t>
            </w:r>
            <w:r>
              <w:rPr>
                <w:rFonts w:hint="eastAsia" w:ascii="Times New Roman" w:hAnsi="Times New Roman" w:eastAsia="宋体" w:cs="宋体"/>
                <w:bCs/>
                <w:color w:val="auto"/>
                <w:sz w:val="18"/>
                <w:szCs w:val="18"/>
                <w:highlight w:val="none"/>
              </w:rPr>
              <w:t>、多媒体与网络教学法等多种互动教学方法进行。</w:t>
            </w:r>
          </w:p>
          <w:p w14:paraId="69C23E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（4）教师要求：任课教师要</w:t>
            </w:r>
            <w:r>
              <w:rPr>
                <w:rFonts w:hint="eastAsia" w:ascii="Times New Roman" w:hAnsi="Times New Roman" w:eastAsia="宋体" w:cs="宋体"/>
                <w:bCs/>
                <w:color w:val="auto"/>
                <w:sz w:val="18"/>
                <w:szCs w:val="18"/>
                <w:highlight w:val="none"/>
                <w:lang w:val="en-US" w:eastAsia="zh-CN"/>
              </w:rPr>
              <w:t>有</w:t>
            </w:r>
            <w:r>
              <w:rPr>
                <w:rFonts w:hint="eastAsia" w:ascii="Times New Roman" w:hAnsi="Times New Roman" w:eastAsia="宋体" w:cs="宋体"/>
                <w:bCs/>
                <w:color w:val="auto"/>
                <w:sz w:val="18"/>
                <w:szCs w:val="18"/>
                <w:highlight w:val="none"/>
              </w:rPr>
              <w:t>扎实的艺术专业知识</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运用多样化的教学方法，因材施教，及时</w:t>
            </w:r>
            <w:r>
              <w:rPr>
                <w:rFonts w:hint="eastAsia" w:ascii="Times New Roman" w:hAnsi="Times New Roman" w:eastAsia="宋体" w:cs="宋体"/>
                <w:bCs/>
                <w:color w:val="auto"/>
                <w:sz w:val="18"/>
                <w:szCs w:val="18"/>
                <w:highlight w:val="none"/>
              </w:rPr>
              <w:t>关注艺术前沿，把最新的艺术资讯融入教学内容。</w:t>
            </w:r>
          </w:p>
          <w:p w14:paraId="6797E0E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（5）评价建议：采取学习过程性与终结性</w:t>
            </w:r>
            <w:r>
              <w:rPr>
                <w:rFonts w:hint="eastAsia" w:ascii="Times New Roman" w:hAnsi="Times New Roman" w:eastAsia="宋体" w:cs="宋体"/>
                <w:bCs/>
                <w:color w:val="auto"/>
                <w:sz w:val="18"/>
                <w:szCs w:val="18"/>
                <w:highlight w:val="none"/>
                <w:lang w:val="en-US" w:eastAsia="zh-CN"/>
              </w:rPr>
              <w:t>考核</w:t>
            </w:r>
            <w:r>
              <w:rPr>
                <w:rFonts w:hint="eastAsia" w:ascii="Times New Roman" w:hAnsi="Times New Roman" w:eastAsia="宋体" w:cs="宋体"/>
                <w:bCs/>
                <w:color w:val="auto"/>
                <w:sz w:val="18"/>
                <w:szCs w:val="18"/>
                <w:highlight w:val="none"/>
              </w:rPr>
              <w:t>相结合评定学习效果。</w:t>
            </w:r>
          </w:p>
        </w:tc>
      </w:tr>
    </w:tbl>
    <w:p w14:paraId="36927304">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Times New Roman" w:hAnsi="Times New Roman" w:eastAsia="宋体" w:cs="宋体"/>
          <w:color w:val="FF0000"/>
          <w:sz w:val="21"/>
          <w:szCs w:val="21"/>
        </w:rPr>
      </w:pPr>
      <w:r>
        <w:rPr>
          <w:rFonts w:hint="eastAsia" w:ascii="Times New Roman" w:hAnsi="Times New Roman" w:eastAsia="宋体" w:cs="宋体"/>
          <w:b/>
          <w:sz w:val="21"/>
          <w:szCs w:val="21"/>
          <w:lang w:val="en-US" w:eastAsia="zh-CN"/>
        </w:rPr>
        <w:t>（二）专业课程</w:t>
      </w:r>
    </w:p>
    <w:p w14:paraId="6C85EAF4">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color w:val="auto"/>
          <w:sz w:val="21"/>
          <w:szCs w:val="21"/>
          <w:lang w:val="en-US" w:eastAsia="zh-CN"/>
        </w:rPr>
        <w:t>1.专业基础课程</w:t>
      </w:r>
    </w:p>
    <w:tbl>
      <w:tblPr>
        <w:tblStyle w:val="1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670"/>
        <w:gridCol w:w="3000"/>
        <w:gridCol w:w="2605"/>
      </w:tblGrid>
      <w:tr w14:paraId="4DF5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7D2544B6">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Times New Roman" w:hAnsi="Times New Roman" w:eastAsia="宋体" w:cs="宋体"/>
                <w:b/>
                <w:bCs w:val="0"/>
                <w:sz w:val="18"/>
                <w:szCs w:val="18"/>
                <w:vertAlign w:val="baseline"/>
                <w:lang w:val="en-US" w:eastAsia="zh-CN"/>
              </w:rPr>
            </w:pPr>
            <w:r>
              <w:rPr>
                <w:rFonts w:hint="eastAsia" w:ascii="Times New Roman" w:hAnsi="Times New Roman" w:eastAsia="宋体" w:cs="宋体"/>
                <w:b/>
                <w:bCs w:val="0"/>
                <w:sz w:val="18"/>
                <w:szCs w:val="18"/>
                <w:vertAlign w:val="baseline"/>
                <w:lang w:val="en-US" w:eastAsia="zh-CN"/>
              </w:rPr>
              <w:t>课程名称</w:t>
            </w:r>
          </w:p>
        </w:tc>
        <w:tc>
          <w:tcPr>
            <w:tcW w:w="2670" w:type="dxa"/>
            <w:vAlign w:val="center"/>
          </w:tcPr>
          <w:p w14:paraId="1090079E">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Times New Roman" w:hAnsi="Times New Roman" w:eastAsia="宋体" w:cs="宋体"/>
                <w:b/>
                <w:bCs w:val="0"/>
                <w:sz w:val="18"/>
                <w:szCs w:val="18"/>
                <w:vertAlign w:val="baseline"/>
                <w:lang w:val="en-US" w:eastAsia="zh-CN"/>
              </w:rPr>
            </w:pPr>
            <w:r>
              <w:rPr>
                <w:rFonts w:hint="eastAsia" w:ascii="Times New Roman" w:hAnsi="Times New Roman" w:eastAsia="宋体" w:cs="宋体"/>
                <w:b/>
                <w:bCs w:val="0"/>
                <w:sz w:val="18"/>
                <w:szCs w:val="18"/>
                <w:vertAlign w:val="baseline"/>
                <w:lang w:val="en-US" w:eastAsia="zh-CN"/>
              </w:rPr>
              <w:t>课程目标</w:t>
            </w:r>
          </w:p>
        </w:tc>
        <w:tc>
          <w:tcPr>
            <w:tcW w:w="3000" w:type="dxa"/>
            <w:vAlign w:val="center"/>
          </w:tcPr>
          <w:p w14:paraId="711DB1C6">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Times New Roman" w:hAnsi="Times New Roman" w:eastAsia="宋体" w:cs="宋体"/>
                <w:b/>
                <w:bCs w:val="0"/>
                <w:sz w:val="18"/>
                <w:szCs w:val="18"/>
                <w:vertAlign w:val="baseline"/>
                <w:lang w:val="en-US" w:eastAsia="zh-CN"/>
              </w:rPr>
            </w:pPr>
            <w:r>
              <w:rPr>
                <w:rFonts w:hint="eastAsia" w:ascii="Times New Roman" w:hAnsi="Times New Roman" w:eastAsia="宋体" w:cs="宋体"/>
                <w:b/>
                <w:bCs w:val="0"/>
                <w:sz w:val="18"/>
                <w:szCs w:val="18"/>
                <w:vertAlign w:val="baseline"/>
                <w:lang w:val="en-US" w:eastAsia="zh-CN"/>
              </w:rPr>
              <w:t>主要内容</w:t>
            </w:r>
          </w:p>
        </w:tc>
        <w:tc>
          <w:tcPr>
            <w:tcW w:w="2605" w:type="dxa"/>
            <w:vAlign w:val="center"/>
          </w:tcPr>
          <w:p w14:paraId="44EEDD6B">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Times New Roman" w:hAnsi="Times New Roman" w:eastAsia="宋体" w:cs="宋体"/>
                <w:b/>
                <w:bCs w:val="0"/>
                <w:sz w:val="18"/>
                <w:szCs w:val="18"/>
                <w:vertAlign w:val="baseline"/>
                <w:lang w:val="en-US" w:eastAsia="zh-CN"/>
              </w:rPr>
            </w:pPr>
            <w:r>
              <w:rPr>
                <w:rFonts w:hint="eastAsia" w:ascii="Times New Roman" w:hAnsi="Times New Roman" w:eastAsia="宋体" w:cs="宋体"/>
                <w:b/>
                <w:bCs w:val="0"/>
                <w:sz w:val="18"/>
                <w:szCs w:val="18"/>
                <w:vertAlign w:val="baseline"/>
                <w:lang w:val="en-US" w:eastAsia="zh-CN"/>
              </w:rPr>
              <w:t>教学要求</w:t>
            </w:r>
          </w:p>
        </w:tc>
      </w:tr>
      <w:tr w14:paraId="2739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2B59498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outlineLvl w:val="3"/>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sz w:val="18"/>
                <w:szCs w:val="18"/>
                <w:lang w:val="en-US" w:eastAsia="zh-CN"/>
                <w14:textFill>
                  <w14:solidFill>
                    <w14:schemeClr w14:val="tx1"/>
                  </w14:solidFill>
                </w14:textFill>
              </w:rPr>
              <w:t>计算机网络技术</w:t>
            </w:r>
          </w:p>
        </w:tc>
        <w:tc>
          <w:tcPr>
            <w:tcW w:w="2670" w:type="dxa"/>
            <w:vAlign w:val="top"/>
          </w:tcPr>
          <w:p w14:paraId="0726C13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5B9D662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(1)培养学生严谨的科学态度和良好的职业素养</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ADE1D9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(2)培养学生团队协作和沟通交流能力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02D221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(3)培养学生网络安全意识和法律意识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FE1CA2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78B5092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(1)掌握计算机网络基本概念和原理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5F9742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(2)理解网络协议栈各层功能和作用</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2354B0D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(3)掌握常用网络设备的工作原理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5BDC169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7CC0CCE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(1)具备网络规划设计和配置管理能力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67717A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(2)具备网络故障诊断和排除能力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1BD826F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(3)具备网络安全防护和维护能力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4490CC94">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模块一：网络基础与协议分析</w:t>
            </w:r>
          </w:p>
          <w:p w14:paraId="334F4FDA">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任务一：绘制网络拓扑结构图</w:t>
            </w:r>
          </w:p>
          <w:p w14:paraId="047A6C92">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任务二：使用Wireshark抓取HTTP报文</w:t>
            </w:r>
          </w:p>
          <w:p w14:paraId="1D775C91">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任务三：配置IP地址与子网划分</w:t>
            </w:r>
          </w:p>
          <w:p w14:paraId="5CA320C0">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模块二：传输层与应用层协议</w:t>
            </w:r>
          </w:p>
          <w:p w14:paraId="00ACDE17">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任务一：TCP三次握手实验验证</w:t>
            </w:r>
          </w:p>
          <w:p w14:paraId="6B48A325">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任务二：HTTP/HTTPS请求对比分析</w:t>
            </w:r>
          </w:p>
          <w:p w14:paraId="064297A1">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任务三：搭建FTP文件传输服务</w:t>
            </w:r>
          </w:p>
          <w:p w14:paraId="327BAA34">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模块三：网络设备配置与管理</w:t>
            </w:r>
          </w:p>
          <w:p w14:paraId="2AF47714">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任务一：路由器基础配置实训</w:t>
            </w:r>
          </w:p>
          <w:p w14:paraId="35B5F2AB">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任务二：VLAN划分与跨网段通信</w:t>
            </w:r>
          </w:p>
          <w:p w14:paraId="5FDCD9B1">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任务三：ACL访问控制策略部署</w:t>
            </w:r>
          </w:p>
          <w:p w14:paraId="78F39695">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模块四：云网络与安全防护</w:t>
            </w:r>
          </w:p>
          <w:p w14:paraId="1BACC384">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任务一：配置虚拟私有云（VPC）</w:t>
            </w:r>
          </w:p>
          <w:p w14:paraId="4CBFDBCC">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任务二：部署防火墙规则实验</w:t>
            </w:r>
          </w:p>
          <w:p w14:paraId="2DD9FE96">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任务三：SSH安全远程管理实战</w:t>
            </w:r>
          </w:p>
          <w:p w14:paraId="64A07FAC">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模块五：大数据场景综合实践</w:t>
            </w:r>
          </w:p>
          <w:p w14:paraId="419C197A">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任务一：搭建分布式存储网络环境</w:t>
            </w:r>
          </w:p>
          <w:p w14:paraId="265310BD">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任务二：网络延迟对数据传输影响测试</w:t>
            </w:r>
          </w:p>
          <w:p w14:paraId="5605599F">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任务三：数据采集端到端安全传输方案</w:t>
            </w:r>
          </w:p>
          <w:p w14:paraId="477A64D0">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模块六：故障排查与优化</w:t>
            </w:r>
          </w:p>
          <w:p w14:paraId="07F58359">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任务一：常见网络故障诊断演练</w:t>
            </w:r>
          </w:p>
          <w:p w14:paraId="5EB017B8">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任务二：网络带宽资源监控分析</w:t>
            </w:r>
          </w:p>
          <w:p w14:paraId="5CF0E3DB">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任务三：高并发场景QoS策略配置</w:t>
            </w:r>
          </w:p>
        </w:tc>
        <w:tc>
          <w:tcPr>
            <w:tcW w:w="2605" w:type="dxa"/>
            <w:vAlign w:val="top"/>
          </w:tcPr>
          <w:p w14:paraId="77A9E4D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(1)教学模式：采用理论教学与实践操作相结合的混合式教学模式，通过线上线下融合教学，实现知识传授、能力培养和素质提升的有机统一。</w:t>
            </w:r>
          </w:p>
          <w:p w14:paraId="1FCADF9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(2)教学方法：运用项目驱动教学法、案例分析法、任务导向法等多种教学方法。通过真实网络环境搭建、网络故障排除、网络安全配置等项目实践。</w:t>
            </w:r>
          </w:p>
          <w:p w14:paraId="22E8E44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(3)教学条件：配备专业网络实验室，包含路由器、交换机、防火墙等网络设备；安装PacketTracer、GNS3等网络仿真软件；同时配备多媒体教学设备和网络教学资源库。</w:t>
            </w:r>
          </w:p>
          <w:p w14:paraId="6B9134F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建立多元化考核评价体系，将过程性评价与终结性评价相结合。过程性评价包括课堂参与、实验操作、项目完成情况等，占总成绩的60%；终结性评价通过理论考试和实践技能测试进行，占总成绩的40%。</w:t>
            </w:r>
          </w:p>
        </w:tc>
      </w:tr>
      <w:tr w14:paraId="0A74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6B2AA3B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Web前端技术基础</w:t>
            </w:r>
          </w:p>
        </w:tc>
        <w:tc>
          <w:tcPr>
            <w:tcW w:w="2670" w:type="dxa"/>
            <w:vAlign w:val="top"/>
          </w:tcPr>
          <w:p w14:paraId="43DFD93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7DD5E75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(1)培养学生良好的代码编写习惯和审美意识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C29F00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(2)培养学生用户体验思维和创新设计能力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14A9750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(3)培养学生持续学习新技术的能力和职业素养</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886082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1AA7E42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(1)掌握HTML标记语言和文档结构</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7DDBA15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(2)掌握CSS样式设计和页面布局技术</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3802B92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(3)掌握JavaScript编程基础和DOM操作</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3C1A27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489409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(1)具备静态网页设计和制作能力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111893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(2)具备响应式网页布局和移动端适配能力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2435679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(3)具备基本的交互功能开发和调试能力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0E76C98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模块一：HTML5基础开发</w:t>
            </w:r>
          </w:p>
          <w:p w14:paraId="7F9E07F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任务一：构建静态网页结构</w:t>
            </w:r>
          </w:p>
          <w:p w14:paraId="4865106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任务二：设计数据提交表单</w:t>
            </w:r>
          </w:p>
          <w:p w14:paraId="5470F7D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任务三：实现Canvas基础绘图</w:t>
            </w:r>
          </w:p>
          <w:p w14:paraId="66F13F0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模块二：CSS3页面布局</w:t>
            </w:r>
          </w:p>
          <w:p w14:paraId="64E3B23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任务一：使用盒模型调整页面元素</w:t>
            </w:r>
          </w:p>
          <w:p w14:paraId="77BF08E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任务二：Flex/Grid布局实战</w:t>
            </w:r>
          </w:p>
          <w:p w14:paraId="2582285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任务三：添加CSS动画效果</w:t>
            </w:r>
          </w:p>
          <w:p w14:paraId="1748DE9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模块三：JavaScript核心应用</w:t>
            </w:r>
          </w:p>
          <w:p w14:paraId="672354D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任务一：DOM动态交互开发</w:t>
            </w:r>
          </w:p>
          <w:p w14:paraId="3B27856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任务二：ES6语法实战</w:t>
            </w:r>
          </w:p>
          <w:p w14:paraId="2035230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任务三：本地数据存储操作</w:t>
            </w:r>
          </w:p>
          <w:p w14:paraId="196401B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模块四：响应式与框架基础</w:t>
            </w:r>
          </w:p>
          <w:p w14:paraId="50D27D2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任务一：Bootstrap响应式页面开发</w:t>
            </w:r>
          </w:p>
          <w:p w14:paraId="2C21BF7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任务二：Vue3基础项目搭建</w:t>
            </w:r>
          </w:p>
          <w:p w14:paraId="15CDC73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任务三：ECharts图表渲染</w:t>
            </w:r>
          </w:p>
          <w:p w14:paraId="04FAA8E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模块五：综合项目实战</w:t>
            </w:r>
          </w:p>
          <w:p w14:paraId="0C02923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任务一：大数据看板界面开发</w:t>
            </w:r>
          </w:p>
          <w:p w14:paraId="18D97B6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任务二：API数据动态获取</w:t>
            </w:r>
          </w:p>
          <w:p w14:paraId="60FBB93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任务三：项目部署与优化</w:t>
            </w:r>
          </w:p>
        </w:tc>
        <w:tc>
          <w:tcPr>
            <w:tcW w:w="2605" w:type="dxa"/>
            <w:vAlign w:val="top"/>
          </w:tcPr>
          <w:p w14:paraId="33FA3E8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(1)教学模式：采用项目化教学模式，以实际网页制作项目为载体，将理论知识与实践操作紧密结合。通过"教、学、做"一体化的教学方式，让学生在完成具体项目的过程中掌握前端开发技能。</w:t>
            </w:r>
          </w:p>
          <w:p w14:paraId="53F4CE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(2)教学方法：运用任务驱动法、案例教学法和分层教学法相结合的教学方法。采用小组协作的方式完成综合项目，培养团队合作精神。</w:t>
            </w:r>
          </w:p>
          <w:p w14:paraId="3A15B64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(3)教学条件：配备专业的Web前端开发实训室，安装VisualStudioCode、WebStorm等主流开发工具；建设在线编程平台和代码托管环境；提供丰富的网页素材库和设计资源。</w:t>
            </w:r>
          </w:p>
          <w:p w14:paraId="3204CF2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(4)评价建议：建立多维度评价体系，注重过程性评价与结果性评价相结合。平时成绩占60%，包括课堂参与、作业完成、项目制作等；期末考核占40%，采用实操考试形式。</w:t>
            </w:r>
          </w:p>
        </w:tc>
      </w:tr>
      <w:tr w14:paraId="42CE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0E48B9F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Linux操作系统</w:t>
            </w:r>
          </w:p>
        </w:tc>
        <w:tc>
          <w:tcPr>
            <w:tcW w:w="2670" w:type="dxa"/>
            <w:vAlign w:val="top"/>
          </w:tcPr>
          <w:p w14:paraId="4900706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0916C3A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(1)培养学生对开源文化的认识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16233D8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(2)增强学生的逻辑思维能力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2448B2A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(3)提升学生的自主学习能力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5ACE3A8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1E87001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(1)理解Linux操作系统的基本原理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42904F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(2)掌握Linux系统的基本操作</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DFC977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(3)了解Linux环境下的软件开发</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F5CE5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378AF5C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(1)能够独立安装和配置Linux系统</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96265F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(2)能够使用Linux命令行进行管理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372E897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(3)能够开发简单的Shell脚本</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3716DEB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模块一：Linux系统基础操作</w:t>
            </w:r>
          </w:p>
          <w:p w14:paraId="3A5CFA4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任务一：虚拟机安装与系统部署</w:t>
            </w:r>
          </w:p>
          <w:p w14:paraId="6908A35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任务二：命令行基本操作演练</w:t>
            </w:r>
          </w:p>
          <w:p w14:paraId="497B9F3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任务三：文件系统目录管理实战</w:t>
            </w:r>
          </w:p>
          <w:p w14:paraId="09CAF14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模块二：用户与权限管理</w:t>
            </w:r>
          </w:p>
          <w:p w14:paraId="17BE5C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任务一：多用户创建与组管理</w:t>
            </w:r>
          </w:p>
          <w:p w14:paraId="3DA196C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任务二：文件权限精细化控制</w:t>
            </w:r>
          </w:p>
          <w:p w14:paraId="6B2489C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任务三：sudo权限分配实践</w:t>
            </w:r>
          </w:p>
          <w:p w14:paraId="3ACC838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模块三：网络与服务配置</w:t>
            </w:r>
          </w:p>
          <w:p w14:paraId="2591F2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任务一：网络配置与防火墙管理</w:t>
            </w:r>
          </w:p>
          <w:p w14:paraId="5F9ED8B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任务二：SSH远程管理服务搭建</w:t>
            </w:r>
          </w:p>
          <w:p w14:paraId="5A9C116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任务三：NFS共享存储服务部署</w:t>
            </w:r>
          </w:p>
          <w:p w14:paraId="631BEE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模块四：Shell脚本自动化</w:t>
            </w:r>
          </w:p>
          <w:p w14:paraId="36ADCB4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任务一：基础Shell命令组合使用</w:t>
            </w:r>
          </w:p>
          <w:p w14:paraId="64C2158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任务二：日志分析脚本编写</w:t>
            </w:r>
          </w:p>
          <w:p w14:paraId="1E0BF8E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任务三：定时任务调度管理</w:t>
            </w:r>
          </w:p>
          <w:p w14:paraId="64AB218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模块五：大数据环境搭建</w:t>
            </w:r>
          </w:p>
          <w:p w14:paraId="7A3ABD9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任务一：JDK/Hadoop环境配置</w:t>
            </w:r>
          </w:p>
          <w:p w14:paraId="03F617C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任务二：集群节点SSH免密互通</w:t>
            </w:r>
          </w:p>
          <w:p w14:paraId="207F6FE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任务三：分布式存储目录规划</w:t>
            </w:r>
          </w:p>
          <w:p w14:paraId="356B55F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模块六：系统监控与故障处理</w:t>
            </w:r>
          </w:p>
          <w:p w14:paraId="67BECD7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任务一：系统资源监控命令实战</w:t>
            </w:r>
          </w:p>
          <w:p w14:paraId="7149D38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任务二：磁盘空间告警处理</w:t>
            </w:r>
          </w:p>
          <w:p w14:paraId="5764E37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任务三：服务进程异常排查</w:t>
            </w:r>
          </w:p>
        </w:tc>
        <w:tc>
          <w:tcPr>
            <w:tcW w:w="2605" w:type="dxa"/>
            <w:vAlign w:val="top"/>
          </w:tcPr>
          <w:p w14:paraId="70586F4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(1)教学模式：采用理论与实践相融合的教学模式，引入企业实际案例进行贯穿式教学，让学生在案例情境中领会理论并应用实践。</w:t>
            </w:r>
          </w:p>
          <w:p w14:paraId="258B165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(2)教学方法：综合运用课堂精讲、机房实操、小组研讨、案例剖析等方式，激发学生主动思考与实践操作。</w:t>
            </w:r>
          </w:p>
          <w:p w14:paraId="0AF2795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(3)教学条件：搭建完善的Linux实验环境（含多种发行版），提供在线课程、技术文档、开源社区等丰富学习资源。</w:t>
            </w:r>
          </w:p>
          <w:p w14:paraId="1F2BDB2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构建多元评价体系，将平时作业（脚本编写等）、实验报告（系统配置与故障处理）、期末考试（理论与实操结合）相结合，重点考量学生对Linux系统的实际操作及问题解决能力，如服务器搭建与运维等场景中的表现。</w:t>
            </w:r>
          </w:p>
        </w:tc>
      </w:tr>
      <w:tr w14:paraId="52B7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058CCBF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程序设计基础</w:t>
            </w:r>
          </w:p>
        </w:tc>
        <w:tc>
          <w:tcPr>
            <w:tcW w:w="2670" w:type="dxa"/>
            <w:vAlign w:val="top"/>
          </w:tcPr>
          <w:p w14:paraId="784A96C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3F313AF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(1)培养计算思维与系统化问题求解能力；</w:t>
            </w:r>
          </w:p>
          <w:p w14:paraId="3350E7D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(2)增强程序设计的伦理意识与社会责任感；</w:t>
            </w:r>
          </w:p>
          <w:p w14:paraId="2991BB3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(3)提升团队协作与沟通能力，适应软件项目开发中的协同工作。</w:t>
            </w:r>
          </w:p>
          <w:p w14:paraId="4F6A59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036DA8A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(1)掌握程序设计的基本概念、流程与典型编程范式；</w:t>
            </w:r>
          </w:p>
          <w:p w14:paraId="4B1E080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(2)理解基本数据结构（如数组、链表、栈、队列等）及其使用场景；</w:t>
            </w:r>
          </w:p>
          <w:p w14:paraId="733D005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(3)熟悉程序控制结构、函数封装及文件操作等基本编程机制。</w:t>
            </w:r>
          </w:p>
          <w:p w14:paraId="0347C1E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6BCFBD2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(1)能够使用一种主流编程语言（如Python、C或Java）完成基础编程任务；</w:t>
            </w:r>
          </w:p>
          <w:p w14:paraId="566939A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(2)能够运用基本算法和调试工具实现功能并排查错误；</w:t>
            </w:r>
          </w:p>
          <w:p w14:paraId="2D5570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(3)能够就简单实际需求（如成绩管理、小游戏等）设计并实现程序解决方案。</w:t>
            </w:r>
          </w:p>
        </w:tc>
        <w:tc>
          <w:tcPr>
            <w:tcW w:w="3000" w:type="dxa"/>
            <w:vAlign w:val="top"/>
          </w:tcPr>
          <w:p w14:paraId="6F94B2B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模块一：程序设计基础入门</w:t>
            </w:r>
          </w:p>
          <w:p w14:paraId="47CE3BC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任务一：程序设计概述与开发环境搭建</w:t>
            </w:r>
          </w:p>
          <w:p w14:paraId="38DA5BB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任务二：变量、数据类型与运算符</w:t>
            </w:r>
          </w:p>
          <w:p w14:paraId="0FC8845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任务三：基本输入输出与简单调试</w:t>
            </w:r>
          </w:p>
          <w:p w14:paraId="687FDA8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任务四：算法描述方法与流程图书写</w:t>
            </w:r>
          </w:p>
          <w:p w14:paraId="34CC4A7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模块二：程序流程控制</w:t>
            </w:r>
          </w:p>
          <w:p w14:paraId="46F8309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任务一：顺序结构与条件语句</w:t>
            </w:r>
          </w:p>
          <w:p w14:paraId="10CF7FA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任务二：循环结构</w:t>
            </w:r>
          </w:p>
          <w:p w14:paraId="33C3ECF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任务三：函数定义与调用</w:t>
            </w:r>
          </w:p>
          <w:p w14:paraId="214A132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任务四：基础调试与常见错误处理</w:t>
            </w:r>
          </w:p>
          <w:p w14:paraId="0E1AEE7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模块三：数据结构初步</w:t>
            </w:r>
          </w:p>
          <w:p w14:paraId="232B68C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任务一：数组的定义与使用</w:t>
            </w:r>
          </w:p>
          <w:p w14:paraId="03F3134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任务二：字符串处理基础</w:t>
            </w:r>
          </w:p>
          <w:p w14:paraId="5A0BA90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任务三：结构体与枚举类型</w:t>
            </w:r>
          </w:p>
          <w:p w14:paraId="3EEF9EF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任务四：文件读写操作实践</w:t>
            </w:r>
          </w:p>
          <w:p w14:paraId="1219F92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模块四：编程实战应用</w:t>
            </w:r>
          </w:p>
          <w:p w14:paraId="53A8047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任务一：简单算法实现（查找与排序）</w:t>
            </w:r>
          </w:p>
          <w:p w14:paraId="0A797B2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任务二：递归函数与应用示例</w:t>
            </w:r>
          </w:p>
          <w:p w14:paraId="7A9D155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任务三：多种排序算法比较与实现</w:t>
            </w:r>
          </w:p>
          <w:p w14:paraId="4C4962E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任务四：异常处理与程序健壮性设计</w:t>
            </w:r>
          </w:p>
          <w:p w14:paraId="5A54944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模块五：综合项目实战</w:t>
            </w:r>
          </w:p>
          <w:p w14:paraId="27C6172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任务一：学生成绩管理系统</w:t>
            </w:r>
          </w:p>
          <w:p w14:paraId="1C5E191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任务二：简易计算器设计与实现</w:t>
            </w:r>
          </w:p>
          <w:p w14:paraId="38EFB99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任务三：猜数字游戏开发</w:t>
            </w:r>
          </w:p>
          <w:p w14:paraId="61E47C2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任务四：文件数据处理器开发</w:t>
            </w:r>
          </w:p>
          <w:p w14:paraId="70B0655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模块六：扩展与工程规范</w:t>
            </w:r>
          </w:p>
          <w:p w14:paraId="5069F7E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任务一：版本控制工具（Git）入门</w:t>
            </w:r>
          </w:p>
          <w:p w14:paraId="7654754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任务二：代码规范与基本重构</w:t>
            </w:r>
          </w:p>
          <w:p w14:paraId="7552FC5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任务三：算法复杂度初步认识</w:t>
            </w:r>
          </w:p>
          <w:p w14:paraId="19A6680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任务四：团队协作与小型项目开发流程</w:t>
            </w:r>
          </w:p>
        </w:tc>
        <w:tc>
          <w:tcPr>
            <w:tcW w:w="2605" w:type="dxa"/>
            <w:vAlign w:val="top"/>
          </w:tcPr>
          <w:p w14:paraId="1DA58F4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本课程采用“理论+实践”相结合的教学模式，以项目驱动和案例教学为核心，通过贴近实际的应用案例（如学生成绩管理系统、简易计算器、猜数字游戏、文本处理工具等）引导学生掌握程序设计的基本语法、逻辑结构、算法基础及调试技能。</w:t>
            </w:r>
          </w:p>
          <w:p w14:paraId="742336F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(2)教学方法：课堂讲解：系统介绍程序设计基本概念、三种基本结构、函数与模块化设计、常用算法思想，结合实例演示程序编写与调试流程。</w:t>
            </w:r>
          </w:p>
          <w:p w14:paraId="7C8CB6B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实验操作：安排上机编程任务，要求学生使用Python/C/Java等语言完成程序编写、测试与错误修正，强化逻辑思维和动手能力。</w:t>
            </w:r>
          </w:p>
          <w:p w14:paraId="6CB2EDE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(3)教学条件：硬件：标准计算机实验室或个人电脑。</w:t>
            </w:r>
          </w:p>
          <w:p w14:paraId="1039611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left"/>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软件：安装Python/VisualStudioCode/Dev-C++/IntelliJIDEA等主流编程开发环境。</w:t>
            </w:r>
          </w:p>
          <w:p w14:paraId="7483668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教学资源：提供丰富的练习题库、项目案例代码及常见错误示例，涵盖数值计算、文本处理、简单游戏等多个领域。</w:t>
            </w:r>
          </w:p>
          <w:p w14:paraId="5941965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(4)评价建议：平时作业（30%）：包括编程题、程序改错与阅读分析，考察基本语法和逻辑实现能力。</w:t>
            </w:r>
          </w:p>
          <w:p w14:paraId="4E074EC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实验项目（30%）：个人或分组完成综合性编程项目（如小型信息管理系统、趣味小游戏），依据代码规范、功能实现、可读性与创新性评分。</w:t>
            </w:r>
          </w:p>
          <w:p w14:paraId="559B395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期末考试（40%）：笔试（考察语法与算法概念）+上机考试（限时编程实战），重点考核程序设计的完整性、正确性与效率。</w:t>
            </w:r>
          </w:p>
          <w:p w14:paraId="3F80944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加分项：鼓励学生参与程序设计竞赛（如蓝桥杯、ACM）、开源项目贡献或创新项目开发，予以额外成绩激励。</w:t>
            </w:r>
          </w:p>
        </w:tc>
      </w:tr>
      <w:tr w14:paraId="14A7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1150" w:type="dxa"/>
            <w:vAlign w:val="center"/>
          </w:tcPr>
          <w:p w14:paraId="433D55B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Python编程基础</w:t>
            </w:r>
          </w:p>
        </w:tc>
        <w:tc>
          <w:tcPr>
            <w:tcW w:w="2670" w:type="dxa"/>
            <w:vAlign w:val="top"/>
          </w:tcPr>
          <w:p w14:paraId="4894D5B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4802A33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(1)培养学生对编程的兴趣和热情</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F7BCF3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(2)增强学生的逻辑思维和创新能力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3E484D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(3)提升学生的自主学习和解决问题的能力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ECCDC4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6C77BA0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(1)理解Python语言的基本语法和编程范式</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6AD1CD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(2)掌握数据结构、面向对象编程的基础知识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4E5D4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(3)了解Python在数据分析和网络编程中的应用</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C16068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02D2E37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(1)能够使用Python进行基本的程序设计</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82D12A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(2)能够利用Python解决实际问题</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DF8781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(3)能够进行Python程序的调试和优化</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7D1DF6A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模块一：编程环境与基础语法</w:t>
            </w:r>
          </w:p>
          <w:p w14:paraId="675BB88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任务一：搭建Python开发环境</w:t>
            </w:r>
          </w:p>
          <w:p w14:paraId="6297AE0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任务二：基础数据类型运算练习</w:t>
            </w:r>
          </w:p>
          <w:p w14:paraId="39D7ADD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任务三：简单计算器程序实现</w:t>
            </w:r>
          </w:p>
          <w:p w14:paraId="5530E68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模块二：程序逻辑控制</w:t>
            </w:r>
          </w:p>
          <w:p w14:paraId="561A145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任务一：条件分支实现成绩评级</w:t>
            </w:r>
          </w:p>
          <w:p w14:paraId="292EEE7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任务二：循环结构实现数据统计</w:t>
            </w:r>
          </w:p>
          <w:p w14:paraId="1C0555F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任务三：异常处理机制实践</w:t>
            </w:r>
          </w:p>
          <w:p w14:paraId="7E79B53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模块三：函数与模块化开发</w:t>
            </w:r>
          </w:p>
          <w:p w14:paraId="12A15C1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任务一：封装数据处理函数</w:t>
            </w:r>
          </w:p>
          <w:p w14:paraId="692B74D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任务二：模块化学生管理系统</w:t>
            </w:r>
          </w:p>
          <w:p w14:paraId="6A6203C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任务三：第三方库安装与调用</w:t>
            </w:r>
          </w:p>
          <w:p w14:paraId="1993D61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模块四：组合数据类型应用</w:t>
            </w:r>
          </w:p>
          <w:p w14:paraId="02F6916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任务一：列表实现数据排序</w:t>
            </w:r>
          </w:p>
          <w:p w14:paraId="1F5FC23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任务二：字典实现数据聚合</w:t>
            </w:r>
          </w:p>
          <w:p w14:paraId="320C08F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任务三：集合实现数据去重</w:t>
            </w:r>
          </w:p>
          <w:p w14:paraId="0797FB9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模块五：文件与数据处理</w:t>
            </w:r>
          </w:p>
          <w:p w14:paraId="155F37E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任务一：CSV数据文件读写</w:t>
            </w:r>
          </w:p>
          <w:p w14:paraId="56910D5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任务二：JSON格式数据处理</w:t>
            </w:r>
          </w:p>
          <w:p w14:paraId="61AC847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任务三：日志文件分析程序</w:t>
            </w:r>
          </w:p>
          <w:p w14:paraId="74B9081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模块六：面向对象编程</w:t>
            </w:r>
          </w:p>
          <w:p w14:paraId="0ED52F5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任务一：定义数据实体类</w:t>
            </w:r>
          </w:p>
          <w:p w14:paraId="194D54F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任务二：封装数据库操作类</w:t>
            </w:r>
          </w:p>
          <w:p w14:paraId="315AA62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任务三：继承实现功能扩展</w:t>
            </w:r>
          </w:p>
          <w:p w14:paraId="2914830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模块七：综合项目实战</w:t>
            </w:r>
          </w:p>
          <w:p w14:paraId="3FE693A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任务一：数据清洗工具开发</w:t>
            </w:r>
          </w:p>
          <w:p w14:paraId="361F6A1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任务二：API接口调用程序</w:t>
            </w:r>
          </w:p>
          <w:p w14:paraId="435C90D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任务三：自动化报表生成系统</w:t>
            </w:r>
          </w:p>
        </w:tc>
        <w:tc>
          <w:tcPr>
            <w:tcW w:w="2605" w:type="dxa"/>
            <w:vAlign w:val="top"/>
          </w:tcPr>
          <w:p w14:paraId="548764A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(1)教学模式：结合理论讲解与实践操作，采用案例教学法，通过实际案例引导学生理解和掌握知识点，帮助学生将抽象的理论知识转化为实际编程能力，提高学习效果。</w:t>
            </w:r>
          </w:p>
          <w:p w14:paraId="50234C8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(2)教学方法：通过课堂讲解、实验操作、小组讨论等多种方式，鼓励学生积极参与和互动。课堂讲解注重知识体系的构建，实验操作强化实际动手能力，小组讨论培养团队协作和问题解决能力。</w:t>
            </w:r>
          </w:p>
          <w:p w14:paraId="4DA1AA6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(3)教学条件：配备Python开发环境，提供在线编程平台，确保学生有足够的实践机会。开发环境支持Python语言的调试与运行，平台提供丰富的学习资源和练习题，帮助学生巩固知识。</w:t>
            </w:r>
          </w:p>
          <w:p w14:paraId="2AA07A9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5BE0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3227F81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数据库技术</w:t>
            </w:r>
          </w:p>
        </w:tc>
        <w:tc>
          <w:tcPr>
            <w:tcW w:w="2670" w:type="dxa"/>
            <w:vAlign w:val="top"/>
          </w:tcPr>
          <w:p w14:paraId="624A693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0A5E71B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(1)培养学生对数据库技术的兴趣和责任感</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136D3E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(2)增强学生的数据分析和信息管理能力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5C30663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(3)提升学生的团队协作和项目管理能力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57C64D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29B9879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(1)理解数据库系统的基本概念和原理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AAD3AA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(2)掌握关系数据库的设计和实现方法</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353ACE9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(3)了解数据库的安全性和完整性管理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5839D35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5314ECB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(1)能够设计和实现数据库系统</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160A90D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(2)能够进行数据库的维护和优化</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78F430E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(3)能够进行数据库的安全管理和数据恢复</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2D17D8B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模块一：数据库基础与环境搭建</w:t>
            </w:r>
          </w:p>
          <w:p w14:paraId="2082DA3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任务一：MySQL数据库安装配置</w:t>
            </w:r>
          </w:p>
          <w:p w14:paraId="5BD517C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任务二：Navicat/SQLyog图形工具使用</w:t>
            </w:r>
          </w:p>
          <w:p w14:paraId="38341AE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任务三：创建第一个业务数据库</w:t>
            </w:r>
          </w:p>
          <w:p w14:paraId="7BA94B1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模块二：SQL语言基础</w:t>
            </w:r>
          </w:p>
          <w:p w14:paraId="00BAA65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任务一：单表数据CRUD操作</w:t>
            </w:r>
          </w:p>
          <w:p w14:paraId="02E8FB9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任务二：WHERE条件高级查询</w:t>
            </w:r>
          </w:p>
          <w:p w14:paraId="0074E76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任务三：聚合函数统计报表</w:t>
            </w:r>
          </w:p>
          <w:p w14:paraId="2E56B8D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模块三：数据库设计</w:t>
            </w:r>
          </w:p>
          <w:p w14:paraId="551E1A4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任务一：绘制ER图设计电商系统</w:t>
            </w:r>
          </w:p>
          <w:p w14:paraId="7F05F4D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任务二：主外键关系实现</w:t>
            </w:r>
          </w:p>
          <w:p w14:paraId="4E8175F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任务三：数据库规范化实践</w:t>
            </w:r>
          </w:p>
          <w:p w14:paraId="493AEDD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模块四：高级查询技术</w:t>
            </w:r>
          </w:p>
          <w:p w14:paraId="40A50B4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任务一：多表连接查询实战</w:t>
            </w:r>
          </w:p>
          <w:p w14:paraId="6621120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任务二：子查询嵌套应用</w:t>
            </w:r>
          </w:p>
          <w:p w14:paraId="4475F41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任务三：视图与存储过程开发</w:t>
            </w:r>
          </w:p>
          <w:p w14:paraId="7DEA976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模块五：索引与性能优化</w:t>
            </w:r>
          </w:p>
          <w:p w14:paraId="3818DE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任务一：索引创建与执行计划分析</w:t>
            </w:r>
          </w:p>
          <w:p w14:paraId="5DBFDE3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任务二：慢查询日志监控优化</w:t>
            </w:r>
          </w:p>
          <w:p w14:paraId="000F453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任务三：事务ACID特性验证</w:t>
            </w:r>
          </w:p>
          <w:p w14:paraId="4B01A15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模块六：大数据存储技术</w:t>
            </w:r>
          </w:p>
          <w:p w14:paraId="2E27DFF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任务一：HDFS基础命令操作</w:t>
            </w:r>
          </w:p>
          <w:p w14:paraId="0E61D90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任务二：Hive数据仓库建表查询</w:t>
            </w:r>
          </w:p>
          <w:p w14:paraId="321900A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任务三：MySQL与Hive数据互导</w:t>
            </w:r>
          </w:p>
          <w:p w14:paraId="4C2189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模块七：数据库安全与维护</w:t>
            </w:r>
          </w:p>
          <w:p w14:paraId="5DCAC90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任务一：用户权限分级管理</w:t>
            </w:r>
          </w:p>
          <w:p w14:paraId="3A68F64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任务二：数据库备份恢复演练</w:t>
            </w:r>
          </w:p>
          <w:p w14:paraId="4E756D8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任务三：大数据集群容灾方案</w:t>
            </w:r>
          </w:p>
          <w:p w14:paraId="34E959C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模块八：综合项目实战</w:t>
            </w:r>
          </w:p>
          <w:p w14:paraId="38AF93C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任务一：电商平台数据库设计</w:t>
            </w:r>
          </w:p>
          <w:p w14:paraId="2F89BA9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任务二：销售数据分析看板开发</w:t>
            </w:r>
          </w:p>
          <w:p w14:paraId="6376BDE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任务三：数据库监控告警系统</w:t>
            </w:r>
          </w:p>
        </w:tc>
        <w:tc>
          <w:tcPr>
            <w:tcW w:w="2605" w:type="dxa"/>
            <w:vAlign w:val="top"/>
          </w:tcPr>
          <w:p w14:paraId="5FEA816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(1)教学模式：结合理论讲解与实践操作，采用案例教学法，通过实际案例引导学生理解和掌握数据库技术的核心概念与应用方法，帮助学生将理论知识转化为实际操作能力，提升学习效果。</w:t>
            </w:r>
          </w:p>
          <w:p w14:paraId="602E1CE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(2)教学方法：通过课堂讲解、实验操作、小组讨论等多种方式，鼓励学生积极参与和互动。课堂讲解注重知识体系的构建，实验操作强化实际动手能力，小组讨论培养团队协作和问题解决能力。</w:t>
            </w:r>
          </w:p>
          <w:p w14:paraId="1DDF074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配备数据库实验环境，提供在线学习资源，确保学生有足够的实践机会。实验环境支持主流数据库管理系统（如MySQL、SQLServer等）的安装与使用，平台提供丰富的学习资源和练习题，帮助学生巩固知识。</w:t>
            </w:r>
          </w:p>
          <w:p w14:paraId="030BC84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bl>
    <w:p w14:paraId="0D45D85A">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2.专业核心课程</w:t>
      </w:r>
    </w:p>
    <w:tbl>
      <w:tblPr>
        <w:tblStyle w:val="14"/>
        <w:tblW w:w="944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794"/>
        <w:gridCol w:w="2803"/>
        <w:gridCol w:w="2681"/>
      </w:tblGrid>
      <w:tr w14:paraId="3CFC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1A2E13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794" w:type="dxa"/>
            <w:vAlign w:val="center"/>
          </w:tcPr>
          <w:p w14:paraId="10ECD3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803" w:type="dxa"/>
            <w:vAlign w:val="center"/>
          </w:tcPr>
          <w:p w14:paraId="5CB24F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681" w:type="dxa"/>
            <w:vAlign w:val="center"/>
          </w:tcPr>
          <w:p w14:paraId="531DAB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524E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06215B3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bCs/>
                <w:color w:val="auto"/>
                <w:sz w:val="18"/>
                <w:szCs w:val="18"/>
                <w:vertAlign w:val="baseline"/>
                <w:lang w:val="en-US" w:eastAsia="zh-CN"/>
              </w:rPr>
            </w:pPr>
            <w:r>
              <w:rPr>
                <w:rFonts w:hint="eastAsia" w:ascii="Times New Roman" w:hAnsi="Times New Roman" w:eastAsia="宋体" w:cs="宋体"/>
                <w:b/>
                <w:bCs/>
                <w:color w:val="auto"/>
                <w:sz w:val="18"/>
                <w:szCs w:val="18"/>
                <w:vertAlign w:val="baseline"/>
                <w:lang w:val="en-US" w:eastAsia="zh-CN"/>
              </w:rPr>
              <w:t>Python网络爬虫与数据采集</w:t>
            </w:r>
          </w:p>
        </w:tc>
        <w:tc>
          <w:tcPr>
            <w:tcW w:w="2794" w:type="dxa"/>
            <w:vAlign w:val="top"/>
          </w:tcPr>
          <w:p w14:paraId="4B17754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1.素质目标</w:t>
            </w:r>
          </w:p>
          <w:p w14:paraId="526E9DB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(1)培养学生对互联网数据价值的敏感性和采集意识</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3F8B038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(2)增强学生的工程规范意识（遵守robots协议与相关法律法规）</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26F1AF7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(3)提升学生在数据采集过程中的伦理道德判断能力</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366F02A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2.知识目标</w:t>
            </w:r>
          </w:p>
          <w:p w14:paraId="4AFB2F6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(1)理解网络爬虫的工作原理和技术架构</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7CA3412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(2)掌握主流爬虫框架（Scrapy/Requests/Selenium）的核心技术</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7CEEF30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(3)了解反爬机制原理及应对策略（验证码/IP封锁等）</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2934E13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3.能力目标</w:t>
            </w:r>
          </w:p>
          <w:p w14:paraId="2CB07F9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(1)能够独立完成静态/动态网站的数据采集任务</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2DFEE71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(2)能够设计高效稳定的分布式爬虫系统</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6DCCC54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(3)具备数据清洗、存储与分析的全流程处理能力</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tc>
        <w:tc>
          <w:tcPr>
            <w:tcW w:w="2803" w:type="dxa"/>
            <w:vAlign w:val="top"/>
          </w:tcPr>
          <w:p w14:paraId="1563723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模块一：网络爬虫基础</w:t>
            </w:r>
          </w:p>
          <w:p w14:paraId="26BBF63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任务一：爬虫技术概述与法律规范</w:t>
            </w:r>
          </w:p>
          <w:p w14:paraId="27C2FEA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任务二：HTTP协议与Requests库实战</w:t>
            </w:r>
          </w:p>
          <w:p w14:paraId="1561E7E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任务三：HTML解析与BeautifulSoup</w:t>
            </w:r>
          </w:p>
          <w:p w14:paraId="6E258A2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任务四：静态网页爬虫全流程实战</w:t>
            </w:r>
          </w:p>
          <w:p w14:paraId="1B2A5E6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模块二：动态数据采集</w:t>
            </w:r>
          </w:p>
          <w:p w14:paraId="7C474F9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任务一：Ajax动态加载原理分析</w:t>
            </w:r>
          </w:p>
          <w:p w14:paraId="6EC920F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任务二：Selenium自动化爬取</w:t>
            </w:r>
          </w:p>
          <w:p w14:paraId="32C4612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任务三：Pyppeteer无头浏览器控制</w:t>
            </w:r>
          </w:p>
          <w:p w14:paraId="036220E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任务四：逆向工程破解JavaScript加密</w:t>
            </w:r>
          </w:p>
          <w:p w14:paraId="22325F4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模块三：高效爬虫进阶</w:t>
            </w:r>
          </w:p>
          <w:p w14:paraId="530B836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任务一：Scrapy框架核心组件</w:t>
            </w:r>
          </w:p>
          <w:p w14:paraId="134D25A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任务二：分布式爬虫（Scrapy-Redis）</w:t>
            </w:r>
          </w:p>
          <w:p w14:paraId="46E825F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任务三：增量爬取与去重策略</w:t>
            </w:r>
          </w:p>
          <w:p w14:paraId="0EE50CF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任务四：反爬机制突破（IP代理/User-Agent池）</w:t>
            </w:r>
          </w:p>
          <w:p w14:paraId="3092101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模块四：数据存储与分析</w:t>
            </w:r>
          </w:p>
          <w:p w14:paraId="3914E3D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任务一：MongoDB非结构化存储</w:t>
            </w:r>
          </w:p>
          <w:p w14:paraId="1D46836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任务二：MySQL关系型数据入库</w:t>
            </w:r>
          </w:p>
          <w:p w14:paraId="69F2448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任务三：数据清洗与Pandas处理</w:t>
            </w:r>
          </w:p>
          <w:p w14:paraId="18DCCFB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任务四：爬虫日志监控与异常处理</w:t>
            </w:r>
          </w:p>
          <w:p w14:paraId="7260DDB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模块五：API与高级应用</w:t>
            </w:r>
          </w:p>
          <w:p w14:paraId="7EA4A7B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任务一：RESTful API数据采集</w:t>
            </w:r>
          </w:p>
          <w:p w14:paraId="1A673E9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任务二：OAuth2.0授权爬取（如微博/微信）</w:t>
            </w:r>
          </w:p>
          <w:p w14:paraId="3ACA530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任务三：App数据抓包（MitmProxy/Fiddler）</w:t>
            </w:r>
          </w:p>
          <w:p w14:paraId="4382420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任务四：爬虫与机器学习数据闭环</w:t>
            </w:r>
          </w:p>
          <w:p w14:paraId="0A20F17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模块六：项目实战</w:t>
            </w:r>
          </w:p>
          <w:p w14:paraId="7B9799A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任务一：电商平台商品评论爬取</w:t>
            </w:r>
          </w:p>
          <w:p w14:paraId="37067D7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任务二：新闻舆情监控系统构建</w:t>
            </w:r>
          </w:p>
          <w:p w14:paraId="52FC89C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任务三：招聘网站职位数据分析</w:t>
            </w:r>
          </w:p>
          <w:p w14:paraId="1E64F14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任务四：爬虫部署与定时任务调度</w:t>
            </w:r>
          </w:p>
        </w:tc>
        <w:tc>
          <w:tcPr>
            <w:tcW w:w="2681" w:type="dxa"/>
            <w:vAlign w:val="top"/>
          </w:tcPr>
          <w:p w14:paraId="725A66F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(1)教学模式：结合理论讲解与实践操作，采用案例教学法，通过实际案例引导学生理解和掌握数据采集技术的核心概念与应用方法，帮助学生将理论知识转化为实际操作能力，提升学习效果。</w:t>
            </w:r>
          </w:p>
          <w:p w14:paraId="34327AF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5F62154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数据采集实验环境，提供在线学习资源，确保学生有足够的实践机会。实验环境支持主流数据采集工具（如Python爬虫、API接口等）的安装与使用，平台提供丰富的学习资源和练习题，帮助学生巩固知识。</w:t>
            </w:r>
          </w:p>
          <w:p w14:paraId="5438259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14BF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7D5F13C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lang w:val="en-US" w:eastAsia="zh-CN"/>
                <w14:textFill>
                  <w14:solidFill>
                    <w14:schemeClr w14:val="tx1"/>
                  </w14:solidFill>
                </w14:textFill>
              </w:rPr>
              <w:t>数据预处理技术</w:t>
            </w:r>
          </w:p>
        </w:tc>
        <w:tc>
          <w:tcPr>
            <w:tcW w:w="2794" w:type="dxa"/>
            <w:vAlign w:val="top"/>
          </w:tcPr>
          <w:p w14:paraId="47CB383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0F39ADE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(1)培养学生对数据预处理技术的兴趣</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781C96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(2)增强学生的数据处理和分析能力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BF4E32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(3)提升学生的批判性思维和问题解决能力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6924A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1051AE2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(1)理解数据预处理的重要性和基本概念</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4E1E20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(2)掌握数据清洗、转换和归一化的技术和方法</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1302B9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(3)了解数据预处理在数据分析和机器学习中的作用</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85BEA0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61F4858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(1)能够识别和处理数据质量问题</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D6247E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(2)能够使用工具进行数据预处理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A0E3D2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(3)能够评估预处理结果的有效性</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03" w:type="dxa"/>
            <w:vAlign w:val="top"/>
          </w:tcPr>
          <w:p w14:paraId="17A04FC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模块一：数据预处理基础认知</w:t>
            </w:r>
          </w:p>
          <w:p w14:paraId="5AD4165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任务一：数据质量评估报告生成</w:t>
            </w:r>
          </w:p>
          <w:p w14:paraId="65AD2DA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任务二：数据标准化与归一化对比</w:t>
            </w:r>
          </w:p>
          <w:p w14:paraId="75536B0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任务三：数据脱敏与隐私保护处理</w:t>
            </w:r>
          </w:p>
          <w:p w14:paraId="1F5614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模块二：缺失值处理技术</w:t>
            </w:r>
          </w:p>
          <w:p w14:paraId="60C92A3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任务一：Pandas缺失值检测与分析</w:t>
            </w:r>
          </w:p>
          <w:p w14:paraId="4DB7188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任务二：均值/中位数/众数填充策略对比</w:t>
            </w:r>
          </w:p>
          <w:p w14:paraId="1924795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任务三：KNN插值法实战应用</w:t>
            </w:r>
          </w:p>
          <w:p w14:paraId="4C34603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模块三：异常值检测与处理</w:t>
            </w:r>
          </w:p>
          <w:p w14:paraId="25EB471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任务一：3σ原则异常检测</w:t>
            </w:r>
          </w:p>
          <w:p w14:paraId="3B21BBF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任务二：箱线图离群点分析</w:t>
            </w:r>
          </w:p>
          <w:p w14:paraId="10D7ABE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任务三：孤立森林算法实战</w:t>
            </w:r>
          </w:p>
          <w:p w14:paraId="5235733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模块四：数据集成与转换</w:t>
            </w:r>
          </w:p>
          <w:p w14:paraId="4128336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任务一：多源数据主键对齐合并</w:t>
            </w:r>
          </w:p>
          <w:p w14:paraId="388A4C3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任务二：日期/时间格式统一化</w:t>
            </w:r>
          </w:p>
          <w:p w14:paraId="40DA7B5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任务三：分类数据One-Hot编码</w:t>
            </w:r>
          </w:p>
          <w:p w14:paraId="60B8471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模块五：数据规约技术</w:t>
            </w:r>
          </w:p>
          <w:p w14:paraId="54650DF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任务一：PCA降维可视化分析</w:t>
            </w:r>
          </w:p>
          <w:p w14:paraId="1FA569B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任务二：特征重要性筛选实战</w:t>
            </w:r>
          </w:p>
          <w:p w14:paraId="65769C5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任务三：数据分箱离散化处理</w:t>
            </w:r>
          </w:p>
          <w:p w14:paraId="668FFF5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模块六：文本数据预处理</w:t>
            </w:r>
          </w:p>
          <w:p w14:paraId="25129B8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任务一：中文分词与停用词过滤</w:t>
            </w:r>
          </w:p>
          <w:p w14:paraId="070E59F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任务二：TF-IDF特征向量生成</w:t>
            </w:r>
          </w:p>
          <w:p w14:paraId="3F485AB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任务三：Word2Vec词向量训练</w:t>
            </w:r>
          </w:p>
          <w:p w14:paraId="2594D7F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模块七：图像数据预处理</w:t>
            </w:r>
          </w:p>
          <w:p w14:paraId="3EBACB5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任务一：OpenCV图像去噪增强</w:t>
            </w:r>
          </w:p>
          <w:p w14:paraId="306D169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任务二：图像尺寸归一化处理</w:t>
            </w:r>
          </w:p>
          <w:p w14:paraId="707BCA9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任务三：数据增强技术应用</w:t>
            </w:r>
          </w:p>
          <w:p w14:paraId="0CC4920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模块八：大数据工具实战</w:t>
            </w:r>
          </w:p>
          <w:p w14:paraId="062E2D3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任务一：Spark DataFrame数据清洗</w:t>
            </w:r>
          </w:p>
          <w:p w14:paraId="15AB3BB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任务二：HiveQL数据转换处理</w:t>
            </w:r>
          </w:p>
          <w:p w14:paraId="0B845E5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任务三：Flink流式数据预处理</w:t>
            </w:r>
          </w:p>
          <w:p w14:paraId="08927B6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模块九：综合项目实战</w:t>
            </w:r>
          </w:p>
          <w:p w14:paraId="5AB794A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任务一：金融风控数据清洗管道构建</w:t>
            </w:r>
          </w:p>
          <w:p w14:paraId="2B7F96D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任务二：电商评论数据情感分析预处理</w:t>
            </w:r>
          </w:p>
          <w:p w14:paraId="00B44E2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任务三：医疗影像数据标准化项目</w:t>
            </w:r>
          </w:p>
        </w:tc>
        <w:tc>
          <w:tcPr>
            <w:tcW w:w="2681" w:type="dxa"/>
            <w:vAlign w:val="top"/>
          </w:tcPr>
          <w:p w14:paraId="2A9E20F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(1)教学模式：结合理论讲解与实践操作，采用案例教学法，通过实际案例引导学生理解和掌握数据预处理技术的核心概念与应用方法，帮助学生将理论知识转化为实际操作能力，提升学习效果。</w:t>
            </w:r>
          </w:p>
          <w:p w14:paraId="33C1CE6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1C16790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数据预处理实验环境，提供在线学习资源，确保学生有足够的实践机会。实验环境支持主流数据预处理工具（如Python的Pandas、NumPy等）的安装与使用，平台提供丰富的学习资源和练习题，帮助学生巩固知识。</w:t>
            </w:r>
          </w:p>
          <w:p w14:paraId="725496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4ED6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771D212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Spark大数据分析</w:t>
            </w:r>
            <w:r>
              <w:rPr>
                <w:rFonts w:hint="eastAsia" w:ascii="Times New Roman" w:hAnsi="Times New Roman" w:cs="宋体"/>
                <w:b/>
                <w:bCs/>
                <w:color w:val="auto"/>
                <w:sz w:val="21"/>
                <w:szCs w:val="21"/>
                <w:vertAlign w:val="baseline"/>
                <w:lang w:val="en-US" w:eastAsia="zh-CN"/>
              </w:rPr>
              <w:t>与</w:t>
            </w:r>
            <w:r>
              <w:rPr>
                <w:rFonts w:hint="eastAsia" w:ascii="Times New Roman" w:hAnsi="Times New Roman" w:eastAsia="宋体" w:cs="宋体"/>
                <w:b/>
                <w:bCs/>
                <w:color w:val="auto"/>
                <w:sz w:val="21"/>
                <w:szCs w:val="21"/>
                <w:vertAlign w:val="baseline"/>
                <w:lang w:val="en-US" w:eastAsia="zh-CN"/>
              </w:rPr>
              <w:t>应用</w:t>
            </w:r>
          </w:p>
        </w:tc>
        <w:tc>
          <w:tcPr>
            <w:tcW w:w="2794" w:type="dxa"/>
            <w:vAlign w:val="top"/>
          </w:tcPr>
          <w:p w14:paraId="1A68077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4005C7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(1)培养学生对大数据技术的兴趣，激发其学习热情</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54EDE3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(2)增强学生的数据分析和业务理解能力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87E74A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(3)提升学生的创新思维和团队协作能力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DE8F7F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09808EB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(1)理解大数据分析的基本概念和流程</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AAEA20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(2)掌握大数据处理工具和技术</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650A27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(3)了解大数据在不同行业的应用案例</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8D3044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4A1B9EE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(1)能够使用大数据分析工具进行数据处理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82E1CF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(2)能够分析和解释大数据分析结果</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6C71CA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(3)能够设计和实施大数据分析项目</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03" w:type="dxa"/>
            <w:vAlign w:val="top"/>
          </w:tcPr>
          <w:p w14:paraId="66EFFDC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模块一：Spark基础与环境搭建</w:t>
            </w:r>
          </w:p>
          <w:p w14:paraId="30A8C0A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任务一：Spark技术栈与生态概述</w:t>
            </w:r>
          </w:p>
          <w:p w14:paraId="26BB42D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任务二：Local/Standalone集群部署</w:t>
            </w:r>
          </w:p>
          <w:p w14:paraId="511D5BD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任务三：Spark核心抽象（RDD/DataFrame/Dataset）</w:t>
            </w:r>
          </w:p>
          <w:p w14:paraId="0EE7BC9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任务四：开发环境配置（IDEA+PySpark）</w:t>
            </w:r>
          </w:p>
          <w:p w14:paraId="1A7F212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模块二：Spark核心编程</w:t>
            </w:r>
          </w:p>
          <w:p w14:paraId="174E884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任务一：RDD算子（Transformation/Action）</w:t>
            </w:r>
          </w:p>
          <w:p w14:paraId="2C0770B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任务二：广播变量与累加器</w:t>
            </w:r>
          </w:p>
          <w:p w14:paraId="244D5D2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任务三：Shuffle机制与性能调优</w:t>
            </w:r>
          </w:p>
          <w:p w14:paraId="45AABB1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任务四：Spark SQL结构化数据处理</w:t>
            </w:r>
          </w:p>
          <w:p w14:paraId="28B916E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模块三：Spark进阶应用</w:t>
            </w:r>
          </w:p>
          <w:p w14:paraId="53D31E4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任务一：Spark Streaming实时计算</w:t>
            </w:r>
          </w:p>
          <w:p w14:paraId="25FD005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任务二：Structured Streaming流批一体</w:t>
            </w:r>
          </w:p>
          <w:p w14:paraId="67680DE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任务三：MLlib机器学习库实战</w:t>
            </w:r>
          </w:p>
          <w:p w14:paraId="464CCB6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任务四：GraphX图计算算法</w:t>
            </w:r>
          </w:p>
          <w:p w14:paraId="344CABE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模块四：Spark性能优化</w:t>
            </w:r>
          </w:p>
          <w:p w14:paraId="5C92286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任务一：内存管理与并行度设置</w:t>
            </w:r>
          </w:p>
          <w:p w14:paraId="2706B46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任务二：数据倾斜解决方案</w:t>
            </w:r>
          </w:p>
          <w:p w14:paraId="4EA04C4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任务三：Spark on YARN/K8s资源调度</w:t>
            </w:r>
          </w:p>
          <w:p w14:paraId="2BE335F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任务四：Tungsten引擎与Catalyst优化器</w:t>
            </w:r>
          </w:p>
          <w:p w14:paraId="633E1ED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模块五：行业项目实战</w:t>
            </w:r>
          </w:p>
          <w:p w14:paraId="0D04FDC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任务一：电商用户行为分析（PV/UV统计）</w:t>
            </w:r>
          </w:p>
          <w:p w14:paraId="3D6A313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任务二：金融风控实时监测系统</w:t>
            </w:r>
          </w:p>
          <w:p w14:paraId="29BC6DA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任务三：交通流量预测（时间序列分析）</w:t>
            </w:r>
          </w:p>
          <w:p w14:paraId="13D25B7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任务四：新闻舆情情感分析（NLP集成）</w:t>
            </w:r>
          </w:p>
          <w:p w14:paraId="2ACD699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模块六：Spark扩展技术</w:t>
            </w:r>
          </w:p>
          <w:p w14:paraId="6147C5C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任务一：Delta Lake数据湖管理</w:t>
            </w:r>
          </w:p>
          <w:p w14:paraId="2B6F595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任务二：Spark与Hadoop/Hive集成</w:t>
            </w:r>
          </w:p>
          <w:p w14:paraId="7B110C8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任务三：SparkR统计建模</w:t>
            </w:r>
          </w:p>
          <w:p w14:paraId="4AEF4CF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任务四：Spark 3.0新特性（AQE/DPP）</w:t>
            </w:r>
          </w:p>
        </w:tc>
        <w:tc>
          <w:tcPr>
            <w:tcW w:w="2681" w:type="dxa"/>
            <w:vAlign w:val="top"/>
          </w:tcPr>
          <w:p w14:paraId="355B3BA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(1)教学模式：结合理论讲解与实践操作，采用案例教学法，通过实际案例引导学生理解和掌握大数据分析技术的核心概念与应用方法，帮助学生将理论知识转化为实际操作能力，提升学习效果。</w:t>
            </w:r>
          </w:p>
          <w:p w14:paraId="70EA26A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017D1AD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大数据分析实验环境，提供在线学习资源，确保学生有足够的实践机会。实验环境支持主流大数据分析工具（如Python的Matplotlib、Seaborn、JupyterNotebook等）的安装与使用，平台提供丰富的学习资源和练习题，帮助学生巩固知识。</w:t>
            </w:r>
          </w:p>
          <w:p w14:paraId="65D9476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07AC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33EA424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Web数据可视化</w:t>
            </w:r>
          </w:p>
        </w:tc>
        <w:tc>
          <w:tcPr>
            <w:tcW w:w="2794" w:type="dxa"/>
            <w:vAlign w:val="top"/>
          </w:tcPr>
          <w:p w14:paraId="5DA8E6E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5DB653F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(1)培养学生对数据可视化的兴趣和审美能力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269389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(2)增强学生的数据分析能力和视觉表达能力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4E4AD0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(3)提升学生的创新思维和团队协作能力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ADEB2B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6DCEA6C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(1)理解数据可视化的基本概念和原理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AC4D96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(2)掌握数据可视化工具和技术</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897C50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(3)了解数据可视化在不同领域的应用</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6D6E4A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04B671F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(1)能够选择合适的数据可视化工具和方法</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6F12C4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(2)能够设计和制作高质量的数据可视化作品</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CE54C6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(3)能够解释和传达数据可视化的结果</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03" w:type="dxa"/>
            <w:vAlign w:val="top"/>
          </w:tcPr>
          <w:p w14:paraId="4462B3A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模块一：数据可视化基础</w:t>
            </w:r>
          </w:p>
          <w:p w14:paraId="575D2F0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任务一：可视化设计原则与图表选型</w:t>
            </w:r>
          </w:p>
          <w:p w14:paraId="375FB43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任务二：HTML/CSS/JavaScript基础强化</w:t>
            </w:r>
          </w:p>
          <w:p w14:paraId="6F7A63D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任务三：数据清洗与JSON格式转换</w:t>
            </w:r>
          </w:p>
          <w:p w14:paraId="06A867D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任务四：Canvas/SVG绘图基础</w:t>
            </w:r>
          </w:p>
          <w:p w14:paraId="0B828AA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模块二：D3.js核心技术</w:t>
            </w:r>
          </w:p>
          <w:p w14:paraId="751C31C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任务一：D3数据绑定与比例尺</w:t>
            </w:r>
          </w:p>
          <w:p w14:paraId="44326B9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任务二：柱状图/折线图/散点图实现</w:t>
            </w:r>
          </w:p>
          <w:p w14:paraId="41F14A1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任务三：地图可视化（GeoJSON拓扑处理）</w:t>
            </w:r>
          </w:p>
          <w:p w14:paraId="5D59301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任务四：动态交互（拖拽/缩放/提示框）</w:t>
            </w:r>
          </w:p>
          <w:p w14:paraId="25CC4BE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模块三：ECharts实战</w:t>
            </w:r>
          </w:p>
          <w:p w14:paraId="4614766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任务一：ECharts配置项与主题定制</w:t>
            </w:r>
          </w:p>
          <w:p w14:paraId="3B81E26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任务二：多维数据仪表盘开发</w:t>
            </w:r>
          </w:p>
          <w:p w14:paraId="5556A4A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任务三：关系图（力导向图/桑基图）</w:t>
            </w:r>
          </w:p>
          <w:p w14:paraId="41A9182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任务四：3D可视化（GL扩展）</w:t>
            </w:r>
          </w:p>
          <w:p w14:paraId="6A06651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模块四：高级可视化技术</w:t>
            </w:r>
          </w:p>
          <w:p w14:paraId="722829E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任务一：大数据分片渲染（WebGL）</w:t>
            </w:r>
          </w:p>
          <w:p w14:paraId="792ED3E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任务二：滚动叙事可视化（Scrollytelling）</w:t>
            </w:r>
          </w:p>
          <w:p w14:paraId="11FF6CA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任务三：实时数据流动态展示</w:t>
            </w:r>
          </w:p>
          <w:p w14:paraId="02C536E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任务四：移动端自适应方案</w:t>
            </w:r>
          </w:p>
          <w:p w14:paraId="5DF762D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模块五：工程化与项目实战</w:t>
            </w:r>
          </w:p>
          <w:p w14:paraId="1164880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任务一：Vue/React集成可视化组件</w:t>
            </w:r>
          </w:p>
          <w:p w14:paraId="22A93FD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任务二：Python+Flask数据接口联调</w:t>
            </w:r>
          </w:p>
          <w:p w14:paraId="50D552C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任务三：疫情数据监控大屏开发</w:t>
            </w:r>
          </w:p>
          <w:p w14:paraId="1FA040F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任务四：商业智能报表自动化生成</w:t>
            </w:r>
          </w:p>
          <w:p w14:paraId="78B980E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模块六：扩展方向</w:t>
            </w:r>
          </w:p>
          <w:p w14:paraId="4E5E5B3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任务一：Tableau/Power BI对比分析</w:t>
            </w:r>
          </w:p>
          <w:p w14:paraId="044D740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任务二：可视化性能优化（Web Worker）</w:t>
            </w:r>
          </w:p>
          <w:p w14:paraId="32F117B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任务三：AR/VR三维可视化初探</w:t>
            </w:r>
          </w:p>
          <w:p w14:paraId="08054FD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任务四：可视化项目部署与SEO</w:t>
            </w:r>
          </w:p>
        </w:tc>
        <w:tc>
          <w:tcPr>
            <w:tcW w:w="2681" w:type="dxa"/>
            <w:vAlign w:val="top"/>
          </w:tcPr>
          <w:p w14:paraId="623C7E5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(1)教学模式：结合理论讲解与实践操作，采用案例教学法，通过实际案例引导学生理解和掌握数据可视化的原理与工具，帮助学生将理论知识转化为实际操作能力，提升学习效果。</w:t>
            </w:r>
          </w:p>
          <w:p w14:paraId="34A43A5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1BA7E6A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数据可视化实验环境，提供在线学习资源，确保学生有足够的实践机会。实验环境支持主流数据可视化工具（如Tableau、PowerBI、Python的Matplotlib、Seaborn等）的安装与使用，平台提供丰富的学习资源和练习题，帮助学生巩固知识。</w:t>
            </w:r>
          </w:p>
          <w:p w14:paraId="36722EA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2FB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113C63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数据挖掘应用</w:t>
            </w:r>
          </w:p>
        </w:tc>
        <w:tc>
          <w:tcPr>
            <w:tcW w:w="2794" w:type="dxa"/>
            <w:vAlign w:val="top"/>
          </w:tcPr>
          <w:p w14:paraId="21391D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1.素质目标</w:t>
            </w:r>
          </w:p>
          <w:p w14:paraId="3664CC2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(1)培养学生对数据挖掘全流程的系统化思维，建立数据驱动决策的意识；</w:t>
            </w:r>
          </w:p>
          <w:p w14:paraId="73F170A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(2)强化学生数据治理与伦理能力（数据质量、隐私保护与模型合规性）；</w:t>
            </w:r>
          </w:p>
          <w:p w14:paraId="484B38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(3)提升跨角色协作能力（业务方/数据工程师/算法工程师的协同）。</w:t>
            </w:r>
          </w:p>
          <w:p w14:paraId="1B9514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2.知识目标</w:t>
            </w:r>
          </w:p>
          <w:p w14:paraId="072779F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(1)掌握典型数据挖掘流程（CRISP-DM）及常用算法原理（分类/聚类/关联分析）；</w:t>
            </w:r>
          </w:p>
          <w:p w14:paraId="61ED8C3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(2)精通特征工程方法与模型评估技术（特征选择/降维/超参数调优）；</w:t>
            </w:r>
          </w:p>
          <w:p w14:paraId="70B916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(3)理解数据挖掘在企业中的实际应用场景（推荐系统/用户画像/风险控制）。</w:t>
            </w:r>
          </w:p>
          <w:p w14:paraId="0559A66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3.能力目标</w:t>
            </w:r>
          </w:p>
          <w:p w14:paraId="1080E9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(1)能够使用Python独立完成数据预处理与建模；</w:t>
            </w:r>
          </w:p>
          <w:p w14:paraId="5F0317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(2)能够通过可视化工具和技术有效解释和呈现数据挖掘结果；</w:t>
            </w:r>
          </w:p>
          <w:p w14:paraId="050B1A6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(3)具备模型优化与部署能力（过拟合处理/模型融合/轻量化部署）。</w:t>
            </w:r>
          </w:p>
        </w:tc>
        <w:tc>
          <w:tcPr>
            <w:tcW w:w="2803" w:type="dxa"/>
            <w:vAlign w:val="top"/>
          </w:tcPr>
          <w:p w14:paraId="2417AAD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模块一：数据挖掘基础入门</w:t>
            </w:r>
          </w:p>
          <w:p w14:paraId="17F136D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任务一：数据挖掘流程与CRISP-DM方法概述</w:t>
            </w:r>
          </w:p>
          <w:p w14:paraId="2E24BA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任务二：Python数据科学环境配置与工具链介绍</w:t>
            </w:r>
          </w:p>
          <w:p w14:paraId="6DCEBE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任务三：数据类型与数据质量评估方法</w:t>
            </w:r>
          </w:p>
          <w:p w14:paraId="1EB28B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任务四：数据挖掘与传统统计分析的差异对比</w:t>
            </w:r>
          </w:p>
          <w:p w14:paraId="4837238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模块二：数据预处理与特征工程</w:t>
            </w:r>
          </w:p>
          <w:p w14:paraId="6E70A53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任务一：数据清洗与缺失值处理实战</w:t>
            </w:r>
          </w:p>
          <w:p w14:paraId="7653C77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任务二：特征变换与离散化方法</w:t>
            </w:r>
          </w:p>
          <w:p w14:paraId="5875B2C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任务三：特征选择与降维技术（PCA/IV分析）</w:t>
            </w:r>
          </w:p>
          <w:p w14:paraId="08C212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任务四：样本不平衡处理与重采样策略</w:t>
            </w:r>
          </w:p>
          <w:p w14:paraId="0D98EC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模块三：建模与优化</w:t>
            </w:r>
          </w:p>
          <w:p w14:paraId="45DD1F7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任务一：分类与回归算法原理与实现</w:t>
            </w:r>
          </w:p>
          <w:p w14:paraId="38BBDCE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任务二：聚类与关联规则挖掘实战</w:t>
            </w:r>
          </w:p>
          <w:p w14:paraId="307C1D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任务三：集成学习方法与超参数调优</w:t>
            </w:r>
          </w:p>
          <w:p w14:paraId="3A5F5DA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任务四：模型评估与验证（交叉验证/ROC-AUC）</w:t>
            </w:r>
          </w:p>
          <w:p w14:paraId="377326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模块四：高级建模技术</w:t>
            </w:r>
          </w:p>
          <w:p w14:paraId="6AB0585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任务一：文本挖掘与自然语言处理基础</w:t>
            </w:r>
          </w:p>
          <w:p w14:paraId="49F0A76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任务二：时间序列分析与预测模型</w:t>
            </w:r>
          </w:p>
          <w:p w14:paraId="1BB771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任务三：神经网络与深度学习入门</w:t>
            </w:r>
          </w:p>
          <w:p w14:paraId="79EC6A2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任务四：推荐系统初步与协同过滤实现</w:t>
            </w:r>
          </w:p>
          <w:p w14:paraId="44E120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模块五：企业级应用实战</w:t>
            </w:r>
          </w:p>
          <w:p w14:paraId="5108775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任务一：电商用户行为分析与商品推荐</w:t>
            </w:r>
          </w:p>
          <w:p w14:paraId="21665BE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任务二：金融风控中的异常检测模型</w:t>
            </w:r>
          </w:p>
          <w:p w14:paraId="61D73B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任务三：社交网络数据挖掘与社区发现</w:t>
            </w:r>
          </w:p>
          <w:p w14:paraId="280FAD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任务四：挖掘结果可视化与业务解读案例</w:t>
            </w:r>
          </w:p>
          <w:p w14:paraId="2B0150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模块六：扩展与集成</w:t>
            </w:r>
          </w:p>
          <w:p w14:paraId="5336410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任务一：自动化机器学习（AutoML）工具应用</w:t>
            </w:r>
          </w:p>
          <w:p w14:paraId="55CEFF3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任务二：模型部署与服务化（API/MLflow）</w:t>
            </w:r>
          </w:p>
          <w:p w14:paraId="7FEDA68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任务三：可解释AI与模型伦理探讨</w:t>
            </w:r>
          </w:p>
          <w:p w14:paraId="7A5B28F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任务四：数据挖掘与大模型（LLM）结合初探</w:t>
            </w:r>
          </w:p>
        </w:tc>
        <w:tc>
          <w:tcPr>
            <w:tcW w:w="2681" w:type="dxa"/>
            <w:vAlign w:val="top"/>
          </w:tcPr>
          <w:p w14:paraId="6BA3DD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(1)教学模式：结合理论讲解与实践操作，采用案例教学法，通过实际案例引导学生理解和掌握数据挖掘的核心算法与应用场景，帮助学生将理论知识转化为实际操作能力，提升学习效果。</w:t>
            </w:r>
          </w:p>
          <w:p w14:paraId="799C112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1925903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数据挖掘实验环境，提供在线学习资源，确保学生有足够的实践机会。实验环境支持主流数据挖掘工具（如Python的Scikit-learn、R语言等）的安装与使用，平台提供丰富的学习资源和练习题，帮助学生巩固知识。</w:t>
            </w:r>
          </w:p>
          <w:p w14:paraId="4634364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5FE3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782854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Hadoop平台搭建与应用</w:t>
            </w:r>
          </w:p>
        </w:tc>
        <w:tc>
          <w:tcPr>
            <w:tcW w:w="2794" w:type="dxa"/>
            <w:vAlign w:val="top"/>
          </w:tcPr>
          <w:p w14:paraId="040D097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1.素质目标</w:t>
            </w:r>
          </w:p>
          <w:p w14:paraId="555C234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(1)培养学生对分布式计算架构的系统性认知，建立大规模数据处理思维；</w:t>
            </w:r>
          </w:p>
          <w:p w14:paraId="5E19E8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(2)强化工程规范意识（集群安全/资源管理/故障容错）；</w:t>
            </w:r>
          </w:p>
          <w:p w14:paraId="3E581B3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(3)提升技术方案选型能力（批处理/流处理场景判断）。</w:t>
            </w:r>
          </w:p>
          <w:p w14:paraId="49D743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2.知识目标</w:t>
            </w:r>
          </w:p>
          <w:p w14:paraId="01EC04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(1)掌握Hadoop核心组件（HDFS/YARN/MapReduce）工作原理；</w:t>
            </w:r>
          </w:p>
          <w:p w14:paraId="5D003E1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(2)理解CAP定理、数据分片、副本策略等分布式系统理论；</w:t>
            </w:r>
          </w:p>
          <w:p w14:paraId="27CDEC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(3)熟悉Hadoop生态工具链（Hive/HBase/ZooKeeper）的协同关系。</w:t>
            </w:r>
          </w:p>
          <w:p w14:paraId="39D9AD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3.能力目标</w:t>
            </w:r>
          </w:p>
          <w:p w14:paraId="6D85F31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(1)能够独立完成Hadoop集群部署与高可用配置；</w:t>
            </w:r>
          </w:p>
          <w:p w14:paraId="2E85710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(2)能够通过性能监控工具（如Ganglia）进行资源瓶颈分析；</w:t>
            </w:r>
          </w:p>
          <w:p w14:paraId="2600E33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(3)具备企业级大数据平台规划能力（硬件选型/节点角色分配）。</w:t>
            </w:r>
          </w:p>
        </w:tc>
        <w:tc>
          <w:tcPr>
            <w:tcW w:w="2803" w:type="dxa"/>
            <w:vAlign w:val="top"/>
          </w:tcPr>
          <w:p w14:paraId="1CA05B2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模块一：Hadoop基础与环境搭建</w:t>
            </w:r>
          </w:p>
          <w:p w14:paraId="224EE6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任务一：Hadoop核心组件与生态体系</w:t>
            </w:r>
          </w:p>
          <w:p w14:paraId="5D03BE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任务二：Linux基础环境配置</w:t>
            </w:r>
          </w:p>
          <w:p w14:paraId="1E79CB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任务三：伪分布式集群部署</w:t>
            </w:r>
          </w:p>
          <w:p w14:paraId="32ECC5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任务四：HDFS命令行操作实战</w:t>
            </w:r>
          </w:p>
          <w:p w14:paraId="1EEA0C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模块二：Hadoop核心组件</w:t>
            </w:r>
          </w:p>
          <w:p w14:paraId="2DF1E3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任务一：HDFS架构与高可用配置</w:t>
            </w:r>
          </w:p>
          <w:p w14:paraId="6510551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任务二：YARN资源调度实战</w:t>
            </w:r>
          </w:p>
          <w:p w14:paraId="26EF804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任务三：MapReduce编程模型</w:t>
            </w:r>
          </w:p>
          <w:p w14:paraId="7D072E7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任务四：Hadoop性能监控工具</w:t>
            </w:r>
          </w:p>
          <w:p w14:paraId="6EE72A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模块三：Hadoop高级应用</w:t>
            </w:r>
          </w:p>
          <w:p w14:paraId="1CE5B1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任务一：Hadoop集群调优策略</w:t>
            </w:r>
          </w:p>
          <w:p w14:paraId="65F294E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任务二：Hadoop安全机制（Kerberos）</w:t>
            </w:r>
          </w:p>
          <w:p w14:paraId="6A71C0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任务三：Hadoop与Zookeeper集成</w:t>
            </w:r>
          </w:p>
          <w:p w14:paraId="11A74BB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任务四：Hadoop多租户管理</w:t>
            </w:r>
          </w:p>
          <w:p w14:paraId="31E326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模块四：Hadoop生态集成</w:t>
            </w:r>
          </w:p>
          <w:p w14:paraId="2D50CE1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任务一：Hive数据仓库搭建</w:t>
            </w:r>
          </w:p>
          <w:p w14:paraId="604FB9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任务二：HBase分布式数据库部署</w:t>
            </w:r>
          </w:p>
          <w:p w14:paraId="7CE334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任务三：Sqoop数据迁移工具</w:t>
            </w:r>
          </w:p>
          <w:p w14:paraId="3F10C3A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任务四：Flume日志采集系统</w:t>
            </w:r>
          </w:p>
          <w:p w14:paraId="3FF1972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模块五：企业级实战项目</w:t>
            </w:r>
          </w:p>
          <w:p w14:paraId="00EE36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任务一：电商网站日志分析系统</w:t>
            </w:r>
          </w:p>
          <w:p w14:paraId="2003F29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任务二：金融数据存储方案设计</w:t>
            </w:r>
          </w:p>
          <w:p w14:paraId="70180DC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任务三：Hadoop集群扩容实战</w:t>
            </w:r>
          </w:p>
          <w:p w14:paraId="1FB3B75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任务四：故障排查与恢复方案</w:t>
            </w:r>
          </w:p>
          <w:p w14:paraId="0AC54D7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模块六：云平台与扩展</w:t>
            </w:r>
          </w:p>
          <w:p w14:paraId="3395FBF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任务一：Hadoop云平台部署（AWS/阿里云）</w:t>
            </w:r>
          </w:p>
          <w:p w14:paraId="34891D9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任务二：容器化部署（Docker+K8s）</w:t>
            </w:r>
          </w:p>
          <w:p w14:paraId="25758DC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任务三：Hadoop 3.x新特性</w:t>
            </w:r>
          </w:p>
          <w:p w14:paraId="68E0678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任务四：大数据平台运维管理</w:t>
            </w:r>
          </w:p>
        </w:tc>
        <w:tc>
          <w:tcPr>
            <w:tcW w:w="2681" w:type="dxa"/>
            <w:vAlign w:val="top"/>
          </w:tcPr>
          <w:p w14:paraId="52A52A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(1)教学模式：结合理论讲解与实践操作，采用案例教学法，通过实际案例引导学生理解和掌握大数据平台的部署与运维技术，帮助学生将理论知识转化为实际操作能力，提升学习效果。</w:t>
            </w:r>
          </w:p>
          <w:p w14:paraId="4598D66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21AA30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大数据平台实验环境，提供在线学习资源，确保学生有足够的实践机会。实验环境支持主流大数据平台（如Hadoop、Spark等）的安装与配置，平台提供丰富的学习资源和练习题，帮助学生巩固知识。</w:t>
            </w:r>
          </w:p>
          <w:p w14:paraId="43D7EDA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bl>
    <w:p w14:paraId="5996EE6F">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Times New Roman" w:hAnsi="Times New Roman" w:eastAsia="楷体_GB2312" w:cs="楷体_GB2312"/>
          <w:color w:val="auto"/>
          <w:sz w:val="21"/>
          <w:szCs w:val="21"/>
          <w:lang w:val="en-US" w:eastAsia="zh-CN"/>
        </w:rPr>
      </w:pPr>
      <w:r>
        <w:rPr>
          <w:rFonts w:hint="eastAsia" w:ascii="Times New Roman" w:hAnsi="Times New Roman" w:eastAsia="宋体" w:cs="宋体"/>
          <w:b/>
          <w:bCs/>
          <w:color w:val="auto"/>
          <w:sz w:val="21"/>
          <w:szCs w:val="21"/>
          <w:lang w:val="en-US" w:eastAsia="zh-CN"/>
        </w:rPr>
        <w:t>3.专业拓展课程</w:t>
      </w:r>
    </w:p>
    <w:tbl>
      <w:tblPr>
        <w:tblStyle w:val="14"/>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794"/>
        <w:gridCol w:w="2812"/>
        <w:gridCol w:w="2659"/>
      </w:tblGrid>
      <w:tr w14:paraId="65F8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493C0877">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794" w:type="dxa"/>
            <w:vAlign w:val="center"/>
          </w:tcPr>
          <w:p w14:paraId="621A8787">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812" w:type="dxa"/>
            <w:vAlign w:val="center"/>
          </w:tcPr>
          <w:p w14:paraId="4C24292C">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659" w:type="dxa"/>
            <w:vAlign w:val="center"/>
          </w:tcPr>
          <w:p w14:paraId="6FE8E54A">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50D5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3330FE3A">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i w:val="0"/>
                <w:color w:val="000000" w:themeColor="text1"/>
                <w:kern w:val="0"/>
                <w:sz w:val="18"/>
                <w:szCs w:val="18"/>
                <w:u w:val="none"/>
                <w:lang w:val="en-US" w:eastAsia="zh-CN" w:bidi="ar"/>
                <w14:textFill>
                  <w14:solidFill>
                    <w14:schemeClr w14:val="tx1"/>
                  </w14:solidFill>
                </w14:textFill>
              </w:rPr>
              <w:t>云计算平台技术应用</w:t>
            </w:r>
          </w:p>
        </w:tc>
        <w:tc>
          <w:tcPr>
            <w:tcW w:w="2794" w:type="dxa"/>
            <w:vAlign w:val="top"/>
          </w:tcPr>
          <w:p w14:paraId="20D6921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6500EE7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(1)培养学生对云计算技术的兴趣和认识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5623E5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(2)增强学生的云服务选择和应用能力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F99BBA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(3)提升学生的创新能力和技术适应性</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69FB1A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26E99AA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(1)理解云计算的基本概念、架构和服务模型</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D30F11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(2)掌握主流云计算平台的技术特点和应用场景</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2185BF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(3)了解云计算的安全性、可靠性和合规性</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C0A9D6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687D1D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(1)能够评估和选择适合的云计算服务</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879C16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(2)能够设计和实施云计算解决方案</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7E4394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(3)能够管理和优化云计算资源</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12" w:type="dxa"/>
            <w:vAlign w:val="top"/>
          </w:tcPr>
          <w:p w14:paraId="212EE59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模块一：云计算基础架构</w:t>
            </w:r>
          </w:p>
          <w:p w14:paraId="4380CEB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任务一：虚拟化技术对比实验（VMware/KVM/Docker）</w:t>
            </w:r>
          </w:p>
          <w:p w14:paraId="37DCEFE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任务二：公有云/私有云/混合云架构设计</w:t>
            </w:r>
          </w:p>
          <w:p w14:paraId="5E9D6B5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任务三：云服务模型（IaaS/PaaS/SaaS）场景分析</w:t>
            </w:r>
          </w:p>
          <w:p w14:paraId="36561DC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模块二：公有云基础服务</w:t>
            </w:r>
          </w:p>
          <w:p w14:paraId="653C621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任务一：阿里云ECS实例全生命周期管理</w:t>
            </w:r>
          </w:p>
          <w:p w14:paraId="04B09A7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任务二：AWS S3对象存储实战</w:t>
            </w:r>
          </w:p>
          <w:p w14:paraId="5E56B95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任务三：Azure Blob存储迁移方案</w:t>
            </w:r>
          </w:p>
          <w:p w14:paraId="592FE41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模块三：云计算网络架构</w:t>
            </w:r>
          </w:p>
          <w:p w14:paraId="13F1609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任务一：VPC网络规划与安全组配置</w:t>
            </w:r>
          </w:p>
          <w:p w14:paraId="0678CC3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任务二：跨可用区负载均衡部署</w:t>
            </w:r>
          </w:p>
          <w:p w14:paraId="33490F0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任务三：VPN网关搭建混合云通道</w:t>
            </w:r>
          </w:p>
          <w:p w14:paraId="3CD40B1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模块四：云数据库服务</w:t>
            </w:r>
          </w:p>
          <w:p w14:paraId="4C8C77C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任务一：RDS MySQL主从复制配置</w:t>
            </w:r>
          </w:p>
          <w:p w14:paraId="0929EA9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任务二：MongoDB分片集群搭建</w:t>
            </w:r>
          </w:p>
          <w:p w14:paraId="7315E42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任务三：Redis缓存服务性能测试</w:t>
            </w:r>
          </w:p>
          <w:p w14:paraId="0DC9177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模块五：容器化技术</w:t>
            </w:r>
          </w:p>
          <w:p w14:paraId="12885B1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任务一：Docker镜像构建与仓库管理</w:t>
            </w:r>
          </w:p>
          <w:p w14:paraId="0DE1246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任务二：Kubernetes集群部署应用</w:t>
            </w:r>
          </w:p>
          <w:p w14:paraId="5C955C5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任务三：Serverless函数计算开发</w:t>
            </w:r>
          </w:p>
          <w:p w14:paraId="71103AB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模块六：云安全与合规</w:t>
            </w:r>
          </w:p>
          <w:p w14:paraId="489FCF9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任务一：IAM权限精细化管理</w:t>
            </w:r>
          </w:p>
          <w:p w14:paraId="34C6173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任务二：云防火墙策略配置</w:t>
            </w:r>
          </w:p>
          <w:p w14:paraId="4987A07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任务三：等保2.0合规性检查</w:t>
            </w:r>
          </w:p>
          <w:p w14:paraId="340D5FF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模块七：大数据云服务</w:t>
            </w:r>
          </w:p>
          <w:p w14:paraId="585D2C7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任务一：EMR Spark集群创建与调优</w:t>
            </w:r>
          </w:p>
          <w:p w14:paraId="69504F9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任务二：云原生数据仓库AnalyticDB使用</w:t>
            </w:r>
          </w:p>
          <w:p w14:paraId="7274E75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任务三：实时计算Flink版应用开发</w:t>
            </w:r>
          </w:p>
          <w:p w14:paraId="6BEEAFA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模块八：云运维监控</w:t>
            </w:r>
          </w:p>
          <w:p w14:paraId="0C44CEB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任务一：云监控告警规则配置</w:t>
            </w:r>
          </w:p>
          <w:p w14:paraId="7BB6500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任务二：日志服务SLS日志分析</w:t>
            </w:r>
          </w:p>
          <w:p w14:paraId="1822AAC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任务三：成本优化方案设计</w:t>
            </w:r>
          </w:p>
          <w:p w14:paraId="01784B0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模块九：行业解决方案</w:t>
            </w:r>
          </w:p>
          <w:p w14:paraId="0BCA6C3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任务一：智慧城市云平台架构设计</w:t>
            </w:r>
          </w:p>
          <w:p w14:paraId="426FB5C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任务二：电商大促弹性扩容方案</w:t>
            </w:r>
          </w:p>
          <w:p w14:paraId="71A6B7C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任务三：医疗影像云存储系统搭建</w:t>
            </w:r>
          </w:p>
          <w:p w14:paraId="5245B83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模块十：云迁移专项</w:t>
            </w:r>
          </w:p>
          <w:p w14:paraId="7156FC2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任务一：传统IDC业务上云评估</w:t>
            </w:r>
          </w:p>
          <w:p w14:paraId="320DE35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任务二：云迁移工具AWS SMS实战</w:t>
            </w:r>
          </w:p>
          <w:p w14:paraId="319F2B2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任务三：云间迁移（阿里云→腾讯云）</w:t>
            </w:r>
          </w:p>
        </w:tc>
        <w:tc>
          <w:tcPr>
            <w:tcW w:w="2659" w:type="dxa"/>
            <w:vAlign w:val="top"/>
          </w:tcPr>
          <w:p w14:paraId="1E4B042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(1)教学模式：结合理论讲解与实践操作，采用案例教学法，通过实际案例引导学生理解和掌握云计算平台技术的核心概念与应用方法，帮助学生将理论知识转化为实际操作能力，提升学习效果。</w:t>
            </w:r>
          </w:p>
          <w:p w14:paraId="4A20FED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(2)教学方法：通过课堂讲解、实验操作、小组讨论等多种方式，鼓励学生积极参与和互动。课堂讲解注重知识体系的构建，实验操作强化实际动手能力，小组讨论培养团队协作和问题解决能力。</w:t>
            </w:r>
          </w:p>
          <w:p w14:paraId="5396917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配备云计算实验环境，提供在线学习资源，确保学生有足够的实践机会。实验环境支持主流云计算平台（如AWS、Azure、阿里云等）的模拟操作，平台提供丰富的学习资源和练习题，帮助学生巩固知识。</w:t>
            </w:r>
          </w:p>
          <w:p w14:paraId="7D7B368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4F0F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10A4351C">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i w:val="0"/>
                <w:color w:val="000000" w:themeColor="text1"/>
                <w:kern w:val="0"/>
                <w:sz w:val="18"/>
                <w:szCs w:val="18"/>
                <w:u w:val="none"/>
                <w:lang w:val="en-US" w:eastAsia="zh-CN" w:bidi="ar"/>
                <w14:textFill>
                  <w14:solidFill>
                    <w14:schemeClr w14:val="tx1"/>
                  </w14:solidFill>
                </w14:textFill>
              </w:rPr>
              <w:t>大数据产品运营</w:t>
            </w:r>
          </w:p>
        </w:tc>
        <w:tc>
          <w:tcPr>
            <w:tcW w:w="2794" w:type="dxa"/>
            <w:vAlign w:val="top"/>
          </w:tcPr>
          <w:p w14:paraId="1B87755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1B4689D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(1)培养学生对大数据产品运营的兴趣</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45F7C3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(2)增强学生的市场洞察和用户需求分析能力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FD67E6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(3)提升学生的数据分析和决策支持能力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7B26C0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37B6089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(1)理解大数据产品的生命周期和运营策略</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54787A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(2)掌握大数据产品的市场定位和推广方法</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6E411A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(3)了解大数据产品运营中的数据分析和优化</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0D113C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07BADBB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(1)能够制定大数据产品的运营计划</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23C00D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(2)能够进行大数据产品的市场推广和用户增长</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C6C982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(3)能够利用数据分析优化产品运营策略</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12" w:type="dxa"/>
            <w:vAlign w:val="top"/>
          </w:tcPr>
          <w:p w14:paraId="07D5704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模块一：大数据产品认知</w:t>
            </w:r>
          </w:p>
          <w:p w14:paraId="1871C7B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任务一：主流大数据产品矩阵分析（阿里云</w:t>
            </w:r>
            <w:r>
              <w:rPr>
                <w:rFonts w:hint="eastAsia" w:ascii="Times New Roman" w:hAnsi="Times New Roman" w:cs="宋体"/>
                <w:b w:val="0"/>
                <w:bCs/>
                <w:color w:val="000000" w:themeColor="text1"/>
                <w:sz w:val="18"/>
                <w:szCs w:val="18"/>
                <w:lang w:val="en-US" w:eastAsia="zh-CN"/>
                <w14:textFill>
                  <w14:solidFill>
                    <w14:schemeClr w14:val="tx1"/>
                  </w14:solidFill>
                </w14:textFill>
              </w:rPr>
              <w:t>、</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华为云</w:t>
            </w:r>
            <w:r>
              <w:rPr>
                <w:rFonts w:hint="eastAsia" w:ascii="Times New Roman" w:hAnsi="Times New Roman" w:cs="宋体"/>
                <w:b w:val="0"/>
                <w:bCs/>
                <w:color w:val="000000" w:themeColor="text1"/>
                <w:sz w:val="18"/>
                <w:szCs w:val="18"/>
                <w:lang w:val="en-US" w:eastAsia="zh-CN"/>
                <w14:textFill>
                  <w14:solidFill>
                    <w14:schemeClr w14:val="tx1"/>
                  </w14:solidFill>
                </w14:textFill>
              </w:rPr>
              <w:t>、</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Cloudera）</w:t>
            </w:r>
          </w:p>
          <w:p w14:paraId="3FC955C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任务二：数据中台与业务中台架构对比</w:t>
            </w:r>
          </w:p>
          <w:p w14:paraId="5414999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任务三：数据产品生命周期管理沙盘演练</w:t>
            </w:r>
          </w:p>
          <w:p w14:paraId="2CBA3D9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模块二：数据产品设计</w:t>
            </w:r>
          </w:p>
          <w:p w14:paraId="2C5C8DE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任务一：用户需求洞察与场景拆解</w:t>
            </w:r>
          </w:p>
          <w:p w14:paraId="778BA14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任务二：数据产品PRD文档撰写</w:t>
            </w:r>
          </w:p>
          <w:p w14:paraId="1DC2868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任务三：数据看板交互原型设计（Axure/Figma）</w:t>
            </w:r>
          </w:p>
          <w:p w14:paraId="15AEEB3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模块三：数据资产运营</w:t>
            </w:r>
          </w:p>
          <w:p w14:paraId="53CC6CD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任务一：数据资产目录体系建设</w:t>
            </w:r>
          </w:p>
          <w:p w14:paraId="7A75AE7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任务二：数据血缘追踪与质量监控</w:t>
            </w:r>
          </w:p>
          <w:p w14:paraId="4A785E5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任务三：数据资产估值模型应用</w:t>
            </w:r>
          </w:p>
          <w:p w14:paraId="54F460E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模块四：数据服务化运营</w:t>
            </w:r>
          </w:p>
          <w:p w14:paraId="6B1561F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任务一：API服务封装与计费策略设计</w:t>
            </w:r>
          </w:p>
          <w:p w14:paraId="7532B2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任务二：数据沙箱环境搭建与管理</w:t>
            </w:r>
          </w:p>
          <w:p w14:paraId="2331A60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任务三：数据服务SLA协议制定</w:t>
            </w:r>
          </w:p>
          <w:p w14:paraId="2FBBC05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模块五：商业化运营实战</w:t>
            </w:r>
          </w:p>
          <w:p w14:paraId="0DD25C6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任务一：数据产品定价策略分析</w:t>
            </w:r>
          </w:p>
          <w:p w14:paraId="4F73BD5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任务二：客户ROI测算模型搭建</w:t>
            </w:r>
          </w:p>
          <w:p w14:paraId="22857FE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任务三：订阅制与按需计费模式对比</w:t>
            </w:r>
          </w:p>
          <w:p w14:paraId="7DCCBBB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模块六：用户增长运营</w:t>
            </w:r>
          </w:p>
          <w:p w14:paraId="6E40DA1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任务一：数据产品埋点方案设计</w:t>
            </w:r>
          </w:p>
          <w:p w14:paraId="65348B6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任务二：A/B测试优化产品体验</w:t>
            </w:r>
          </w:p>
          <w:p w14:paraId="02AB0B6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任务三：用户分层与精准运营策略</w:t>
            </w:r>
          </w:p>
          <w:p w14:paraId="2474B09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模块七：数据安全合规</w:t>
            </w:r>
          </w:p>
          <w:p w14:paraId="0C7ADD1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任务一：GDPR与数据安全法合规检查</w:t>
            </w:r>
          </w:p>
          <w:p w14:paraId="47C9B5C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任务二：数据脱敏服务配置实战</w:t>
            </w:r>
          </w:p>
          <w:p w14:paraId="3598D80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任务三：隐私计算技术应用评估</w:t>
            </w:r>
          </w:p>
          <w:p w14:paraId="47CEEF3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模块八：运营工具链</w:t>
            </w:r>
          </w:p>
          <w:p w14:paraId="5DB1F47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任务一：埋点分析工具（GrowingIO）应用</w:t>
            </w:r>
          </w:p>
          <w:p w14:paraId="5F07544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任务二：客户数据平台（CDP）搭建</w:t>
            </w:r>
          </w:p>
          <w:p w14:paraId="67C9ED8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任务三：数据产品使用监控看板开发</w:t>
            </w:r>
          </w:p>
          <w:p w14:paraId="6916155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模块九：行业解决方案</w:t>
            </w:r>
          </w:p>
          <w:p w14:paraId="3511662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任务一：金融风控数据产品运营方案</w:t>
            </w:r>
          </w:p>
          <w:p w14:paraId="499B0BF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任务二：零售用户画像产品商业化设计</w:t>
            </w:r>
          </w:p>
          <w:p w14:paraId="1EA2A07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任务三：政务数据开放平台运营策略</w:t>
            </w:r>
          </w:p>
          <w:p w14:paraId="7FDAB6D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模块十：综合项目实战</w:t>
            </w:r>
          </w:p>
          <w:p w14:paraId="67EFE3F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任务一：从0到1规划大数据产品</w:t>
            </w:r>
          </w:p>
          <w:p w14:paraId="253CEC6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任务二：制定年度运营推广计划</w:t>
            </w:r>
          </w:p>
          <w:p w14:paraId="38DADCB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任务三：模拟数据产品发布会路演</w:t>
            </w:r>
          </w:p>
        </w:tc>
        <w:tc>
          <w:tcPr>
            <w:tcW w:w="2659" w:type="dxa"/>
            <w:vAlign w:val="top"/>
          </w:tcPr>
          <w:p w14:paraId="2FDC0C9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(1)教学模式：结合理论讲解与实践操作，采用案例教学法，通过实际案例引导学生理解和掌握大数据产品运营的核心流程与策略，帮助学生将理论知识转化为实际操作能力，提升学习效果。</w:t>
            </w:r>
          </w:p>
          <w:p w14:paraId="0D8592A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(2)教学方法：通过课堂讲解、案例分析、小组讨论等多种方式，鼓励学生积极参与和互动。课堂讲解注重知识体系的构建，案例分析强化实际应用能力，小组讨论培养团队协作和创新思维。</w:t>
            </w:r>
          </w:p>
          <w:p w14:paraId="05C85A2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(3)教学条件：配备大数据产品运营模拟环境，提供在线学习资源，确保学生有足够的实践机会。模拟环境支持主流大数据产品运营工具的使用，平台提供丰富的学习资源和实战案例，帮助学生巩固知识。</w:t>
            </w:r>
          </w:p>
          <w:p w14:paraId="04F0B44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评价建议：通过平时作业、项目报告和期末考试综合评价，注重学生的实际操作能力和数据分析能力。平时作业检验学生对知识的掌握，项目报告评估实践能力，期末考试考察综合素养，全面反映学生的学习成果。</w:t>
            </w:r>
          </w:p>
        </w:tc>
      </w:tr>
      <w:tr w14:paraId="1941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55E70455">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i w:val="0"/>
                <w:color w:val="000000" w:themeColor="text1"/>
                <w:kern w:val="0"/>
                <w:sz w:val="18"/>
                <w:szCs w:val="18"/>
                <w:u w:val="none"/>
                <w:lang w:val="en-US" w:eastAsia="zh-CN" w:bidi="ar"/>
                <w14:textFill>
                  <w14:solidFill>
                    <w14:schemeClr w14:val="tx1"/>
                  </w14:solidFill>
                </w14:textFill>
              </w:rPr>
              <w:t>大数据安全技术</w:t>
            </w:r>
          </w:p>
        </w:tc>
        <w:tc>
          <w:tcPr>
            <w:tcW w:w="2794" w:type="dxa"/>
            <w:vAlign w:val="top"/>
          </w:tcPr>
          <w:p w14:paraId="752AE4F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3C32767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(1)培养学生对大数据安全的重视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11767A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(2)增强学生对数据保护的责任感</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15410A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(3)提升学生的安全分析和风险评估能力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0EE68D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574BF4D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(1)理解大数据环境下的安全挑战</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06BA34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(2)掌握数据加密与访问控制技术，熟悉数据审计方法</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321041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(3)了解大数据安全法规和标准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8FFF77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06D89AF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(1)能够评估大数据安全需求</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8D4236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(2)能够设计和实施大数据安全策略</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EE2C32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(3)能够处理大数据安全事件和应急响应</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12" w:type="dxa"/>
            <w:vAlign w:val="top"/>
          </w:tcPr>
          <w:p w14:paraId="006D038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模块一：大数据安全基础</w:t>
            </w:r>
          </w:p>
          <w:p w14:paraId="3DAF6BF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任务一：大数据环境安全威胁分析</w:t>
            </w:r>
          </w:p>
          <w:p w14:paraId="18D523F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任务二：数据安全法律法规对照（GDPR/等保2.0）</w:t>
            </w:r>
          </w:p>
          <w:p w14:paraId="329CB06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任务三：大数据平台安全基线检查</w:t>
            </w:r>
          </w:p>
          <w:p w14:paraId="6AC59A5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模块二：身份认证与访问控制</w:t>
            </w:r>
          </w:p>
          <w:p w14:paraId="5A5E40A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任务一：Kerberos认证体系部署</w:t>
            </w:r>
          </w:p>
          <w:p w14:paraId="3E58F7B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任务二：Ranger/Sentry权限策略配置</w:t>
            </w:r>
          </w:p>
          <w:p w14:paraId="29FB0BD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任务三：RBAC/ABAC模型实施对比</w:t>
            </w:r>
          </w:p>
          <w:p w14:paraId="5821908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模块三：数据加密技术</w:t>
            </w:r>
          </w:p>
          <w:p w14:paraId="22AEA95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任务一：HDFS透明加密配置</w:t>
            </w:r>
          </w:p>
          <w:p w14:paraId="0007EF9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任务二：SSL/TLS通道加密实战</w:t>
            </w:r>
          </w:p>
          <w:p w14:paraId="755BDDE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任务三：国密算法SM4数据加密</w:t>
            </w:r>
          </w:p>
          <w:p w14:paraId="090CF76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模块四：数据脱敏与隐私保护</w:t>
            </w:r>
          </w:p>
          <w:p w14:paraId="1A03790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任务一：敏感数据自动识别扫描</w:t>
            </w:r>
          </w:p>
          <w:p w14:paraId="7D7EC22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任务二：动态脱敏规则引擎开发</w:t>
            </w:r>
          </w:p>
          <w:p w14:paraId="2D4F581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任务三：k-匿名化隐私保护实现</w:t>
            </w:r>
          </w:p>
          <w:p w14:paraId="465CD55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模块五：大数据审计追踪</w:t>
            </w:r>
          </w:p>
          <w:p w14:paraId="2A8EE5A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任务一：数据库审计系统部署</w:t>
            </w:r>
          </w:p>
          <w:p w14:paraId="0B4BD8A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任务二：用户行为日志分析告警</w:t>
            </w:r>
          </w:p>
          <w:p w14:paraId="54E4B9B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任务三：区块链存证技术应用</w:t>
            </w:r>
          </w:p>
          <w:p w14:paraId="76C1EB2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模块六：数据安全传输</w:t>
            </w:r>
          </w:p>
          <w:p w14:paraId="2563B7B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任务一：SFTP/AS2安全传输配置</w:t>
            </w:r>
          </w:p>
          <w:p w14:paraId="740EED0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任务二：Kafka消息加密传输</w:t>
            </w:r>
          </w:p>
          <w:p w14:paraId="0B7D2AE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任务三：跨域数据共享安全方案</w:t>
            </w:r>
          </w:p>
          <w:p w14:paraId="10FE54E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模块七：安全计算技术</w:t>
            </w:r>
          </w:p>
          <w:p w14:paraId="0B3B901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任务一：多方安全计算（MPC）演示</w:t>
            </w:r>
          </w:p>
          <w:p w14:paraId="6FEDC94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任务二：联邦学习隐私保护实战</w:t>
            </w:r>
          </w:p>
          <w:p w14:paraId="0348040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任务三：TEE可信执行环境部署</w:t>
            </w:r>
          </w:p>
          <w:p w14:paraId="2353270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模块八：攻防实战演练</w:t>
            </w:r>
          </w:p>
          <w:p w14:paraId="2C97430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任务一：SQL注入攻击防御实验</w:t>
            </w:r>
          </w:p>
          <w:p w14:paraId="5129758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任务二：数据泄露应急响应演练</w:t>
            </w:r>
          </w:p>
          <w:p w14:paraId="2036467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任务三：红蓝对抗安全加固</w:t>
            </w:r>
          </w:p>
          <w:p w14:paraId="1A51072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模块九：行业解决方案</w:t>
            </w:r>
          </w:p>
          <w:p w14:paraId="695E182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任务一：金融数据安全防护体系设计</w:t>
            </w:r>
          </w:p>
          <w:p w14:paraId="4155C3C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任务二：医疗数据合规共享方案</w:t>
            </w:r>
          </w:p>
          <w:p w14:paraId="3BCCFCC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任务三：政务数据开放安全评估</w:t>
            </w:r>
          </w:p>
          <w:p w14:paraId="5AE730F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模块十：安全运维管理</w:t>
            </w:r>
          </w:p>
          <w:p w14:paraId="2752769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任务一：安全漏洞扫描与修复</w:t>
            </w:r>
          </w:p>
          <w:p w14:paraId="4D56082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任务二：安全事件SIEM系统集成</w:t>
            </w:r>
          </w:p>
          <w:p w14:paraId="1028B14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任务三：数据安全态势感知大屏</w:t>
            </w:r>
          </w:p>
        </w:tc>
        <w:tc>
          <w:tcPr>
            <w:tcW w:w="2659" w:type="dxa"/>
            <w:vAlign w:val="top"/>
          </w:tcPr>
          <w:p w14:paraId="26AE652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(1)教学模式：结合理论讲解与实践操作，采用案例教学法，通过实际案例引导学生理解和掌握大数据安全技术的核心概念与防护策略，帮助学生将理论知识转化为实际操作能力，提升学习效果。</w:t>
            </w:r>
          </w:p>
          <w:p w14:paraId="7EB1633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(2)教学方法：通过课堂讲解、实验操作、小组讨论等多种方式，鼓励学生积极参与和互动。课堂讲解注重知识体系的构建，实验操作强化实际动手能力，小组讨论培养团队协作和问题解决能力。</w:t>
            </w:r>
          </w:p>
          <w:p w14:paraId="0CCBA96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配备大数据安全实验环境，提供在线学习资源，确保学生有足够的实践机会。实验环境支持主流大数据安全工具（如加密工具、访问控制工具等）的安装与使用，平台提供丰富的学习资源和练习题，帮助学生巩固知识。</w:t>
            </w:r>
          </w:p>
          <w:p w14:paraId="7058D49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3134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6D0BFCC5">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i w:val="0"/>
                <w:color w:val="000000" w:themeColor="text1"/>
                <w:kern w:val="0"/>
                <w:sz w:val="18"/>
                <w:szCs w:val="18"/>
                <w:u w:val="none"/>
                <w:lang w:val="en-US" w:eastAsia="zh-CN" w:bidi="ar"/>
                <w14:textFill>
                  <w14:solidFill>
                    <w14:schemeClr w14:val="tx1"/>
                  </w14:solidFill>
                </w14:textFill>
              </w:rPr>
              <w:t>大数据项目管理</w:t>
            </w:r>
          </w:p>
        </w:tc>
        <w:tc>
          <w:tcPr>
            <w:tcW w:w="2794" w:type="dxa"/>
            <w:vAlign w:val="top"/>
          </w:tcPr>
          <w:p w14:paraId="6205BA5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71AA556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(1)培养学生的项目管理思维和领导能力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E2B10B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(2)增强学生的团队协作和沟通能力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F28316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(3)提升学生解决复杂问题的能力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9212B8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6B0177B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(1)理解大数据项目的生命周期和关键成功因素</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E926EA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(2)掌握大数据项目管理的方法和工具</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62F176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(3)了解大数据项目的风险管理和质量控制</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F41313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3999B5C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(1)能够规划和启动大数据项目</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00B41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(2)能够执行和监控大数据项目的进度</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9C1B33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(3)能够收尾和评估大数据项目</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12" w:type="dxa"/>
            <w:vAlign w:val="top"/>
          </w:tcPr>
          <w:p w14:paraId="27E9BDA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模块一：大数据项目特征认知</w:t>
            </w:r>
          </w:p>
          <w:p w14:paraId="1F3CC45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任务一：传统IT项目 vs 数据项目差异分析</w:t>
            </w:r>
          </w:p>
          <w:p w14:paraId="0C47506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任务二：数据项目全生命周期沙盘推演</w:t>
            </w:r>
          </w:p>
          <w:p w14:paraId="3E4C9E4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任务三：大数据项目失败案例复盘</w:t>
            </w:r>
          </w:p>
          <w:p w14:paraId="3D37E58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模块二：项目启动与规划</w:t>
            </w:r>
          </w:p>
          <w:p w14:paraId="2794384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任务一：数据需求可行性评估报告</w:t>
            </w:r>
          </w:p>
          <w:p w14:paraId="79CEEAB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任务二：数据资源矩阵（DRM）编制</w:t>
            </w:r>
          </w:p>
          <w:p w14:paraId="46CC7E7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任务三：甘特图与里程碑计划制定</w:t>
            </w:r>
          </w:p>
          <w:p w14:paraId="40AFF15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模块三：敏捷项目管理</w:t>
            </w:r>
          </w:p>
          <w:p w14:paraId="44D2780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任务一：Scrum在数据工程中的实践</w:t>
            </w:r>
          </w:p>
          <w:p w14:paraId="50396F4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任务二：用户故事地图（User Story Mapping）绘制</w:t>
            </w:r>
          </w:p>
          <w:p w14:paraId="5F7141F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任务三：看板管理数据清洗任务</w:t>
            </w:r>
          </w:p>
          <w:p w14:paraId="347A698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模块四：数据工程专项管理</w:t>
            </w:r>
          </w:p>
          <w:p w14:paraId="598551D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任务一：数据血缘追踪方案设计</w:t>
            </w:r>
          </w:p>
          <w:p w14:paraId="6469305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任务二：数据质量SLA指标制定</w:t>
            </w:r>
          </w:p>
          <w:p w14:paraId="201008F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任务三：ETL流程监控看板开发</w:t>
            </w:r>
          </w:p>
          <w:p w14:paraId="1D45DF7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模块五：风险管理</w:t>
            </w:r>
          </w:p>
          <w:p w14:paraId="59C71A6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任务一：数据安全风险评估矩阵</w:t>
            </w:r>
          </w:p>
          <w:p w14:paraId="010D5C8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任务二：数据倾斜问题应急预案</w:t>
            </w:r>
          </w:p>
          <w:p w14:paraId="060DC61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任务三：第三方数据接口风险管控</w:t>
            </w:r>
          </w:p>
          <w:p w14:paraId="290CA79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模块六：团队协作工具链</w:t>
            </w:r>
          </w:p>
          <w:p w14:paraId="68F34C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任务一：Jira数据项目管理看板配置</w:t>
            </w:r>
          </w:p>
          <w:p w14:paraId="00B665E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任务二：GitLab数据管道CI/CD实践</w:t>
            </w:r>
          </w:p>
          <w:p w14:paraId="715E251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任务三：Confluence数据文档协同管理</w:t>
            </w:r>
          </w:p>
          <w:p w14:paraId="1C0563C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模块七：成本与绩效管理</w:t>
            </w:r>
          </w:p>
          <w:p w14:paraId="0276202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任务一：云计算资源成本优化方案</w:t>
            </w:r>
          </w:p>
          <w:p w14:paraId="2ED5102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任务二：数据团队OKR制定与评估</w:t>
            </w:r>
          </w:p>
          <w:p w14:paraId="453BDE4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任务三：项目ROI测算模型搭建</w:t>
            </w:r>
          </w:p>
          <w:p w14:paraId="7662762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模块八：行业解决方案</w:t>
            </w:r>
          </w:p>
          <w:p w14:paraId="0B3FC5E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任务一：金融风控系统实施项目管理</w:t>
            </w:r>
          </w:p>
          <w:p w14:paraId="7C7B5AD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任务二：智慧城市数据中台建设项目</w:t>
            </w:r>
          </w:p>
          <w:p w14:paraId="6996E3C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任务三：跨企业数据合作项目管理</w:t>
            </w:r>
          </w:p>
          <w:p w14:paraId="1135583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模块九：项目交付与运维</w:t>
            </w:r>
          </w:p>
          <w:p w14:paraId="0317D6F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任务一：数据产品验收标准制定</w:t>
            </w:r>
          </w:p>
          <w:p w14:paraId="24BB7E0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任务二：知识转移（KT）计划实施</w:t>
            </w:r>
          </w:p>
          <w:p w14:paraId="4C05C0E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任务三：运维交接文档体系构建</w:t>
            </w:r>
          </w:p>
        </w:tc>
        <w:tc>
          <w:tcPr>
            <w:tcW w:w="2659" w:type="dxa"/>
            <w:vAlign w:val="top"/>
          </w:tcPr>
          <w:p w14:paraId="5D7F884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(1)教学模式：结合理论讲解与实践操作，采用案例教学法，通过实际案例引导学生理解和掌握大数据项目管理的核心流程与方法，帮助学生将理论知识转化为实际操作能力，提升学习效果。</w:t>
            </w:r>
          </w:p>
          <w:p w14:paraId="4EDAD0B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(2)教学方法：通过课堂讲解、案例分析、小组讨论等多种方式，鼓励学生积极参与和互动。课堂讲解注重知识体系的构建，案例分析强化实际应用能力，小组讨论培养团队协作和创新思维。</w:t>
            </w:r>
          </w:p>
          <w:p w14:paraId="72E2A1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(3)教学条件：配备大数据项目管理模拟环境，提供在线学习资源，确保学生有足够的实践机会。模拟环境支持主流项目管理工具的使用，平台提供丰富的学习资源和实战案例，帮助学生巩固知识。</w:t>
            </w:r>
          </w:p>
          <w:p w14:paraId="3EF5515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评价建议：通过平时作业、项目报告和期末考试综合评价，注重学生的实际操作能力和项目管理能力。平时作业检验学生对知识的掌握，项目报告评估实践能力，期末考试考察综合素养，全面反映学生的学习成果。</w:t>
            </w:r>
          </w:p>
        </w:tc>
      </w:tr>
    </w:tbl>
    <w:p w14:paraId="5E9E5DFC">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Times New Roman" w:hAnsi="Times New Roman" w:eastAsia="宋体" w:cs="宋体"/>
          <w:b/>
          <w:bCs/>
          <w:color w:val="auto"/>
          <w:sz w:val="21"/>
          <w:szCs w:val="21"/>
          <w:lang w:val="en-US" w:eastAsia="zh-CN"/>
        </w:rPr>
        <w:t>4.专业实践课程</w:t>
      </w:r>
    </w:p>
    <w:tbl>
      <w:tblPr>
        <w:tblStyle w:val="14"/>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744"/>
        <w:gridCol w:w="2812"/>
        <w:gridCol w:w="2672"/>
      </w:tblGrid>
      <w:tr w14:paraId="3893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3481668B">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744" w:type="dxa"/>
            <w:vAlign w:val="center"/>
          </w:tcPr>
          <w:p w14:paraId="560A4639">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812" w:type="dxa"/>
            <w:vAlign w:val="center"/>
          </w:tcPr>
          <w:p w14:paraId="000E19C7">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672" w:type="dxa"/>
            <w:vAlign w:val="center"/>
          </w:tcPr>
          <w:p w14:paraId="41C8512C">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0CAE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62" w:type="dxa"/>
            <w:vAlign w:val="center"/>
          </w:tcPr>
          <w:p w14:paraId="50486FA3">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i w:val="0"/>
                <w:iCs w:val="0"/>
                <w:color w:val="000000" w:themeColor="text1"/>
                <w:kern w:val="0"/>
                <w:sz w:val="18"/>
                <w:szCs w:val="18"/>
                <w:u w:val="none"/>
                <w:lang w:val="en-US" w:eastAsia="zh-CN" w:bidi="ar"/>
                <w14:textFill>
                  <w14:solidFill>
                    <w14:schemeClr w14:val="tx1"/>
                  </w14:solidFill>
                </w14:textFill>
              </w:rPr>
              <w:t>岗位实习</w:t>
            </w:r>
          </w:p>
        </w:tc>
        <w:tc>
          <w:tcPr>
            <w:tcW w:w="2744" w:type="dxa"/>
            <w:vAlign w:val="top"/>
          </w:tcPr>
          <w:p w14:paraId="3E686564">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素质目标：</w:t>
            </w:r>
          </w:p>
          <w:p w14:paraId="77013D6D">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(1)培养学生的专业素养和职业道德</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468576E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(2)增强学生的团队合作和沟通能力</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62AF545C">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知识目标：</w:t>
            </w:r>
          </w:p>
          <w:p w14:paraId="64CE72A4">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(1)理解大数据技术的行业应用和发展趋势</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652B2B26">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(2)掌握大数据平台的部署、运维和管理</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37BEFDE2">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能力目标：</w:t>
            </w:r>
          </w:p>
          <w:p w14:paraId="3543056B">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(1)能够参与大数据项目的实施和管理</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44756F58">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(2)能够进行数据分析和处理</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026B9BD8">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(3)能够撰写实习报告和项目文档</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tc>
        <w:tc>
          <w:tcPr>
            <w:tcW w:w="2812" w:type="dxa"/>
            <w:vAlign w:val="top"/>
          </w:tcPr>
          <w:p w14:paraId="223F72E7">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项目载体：企业级大数据平台运维与管理</w:t>
            </w:r>
          </w:p>
          <w:p w14:paraId="50DCF500">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岗位实习面向大数据技术专业学生，围绕企业级大数据平台运维管理展开。以培养专业素养、道德，增强团队合作与沟通能力等为素质目标；理解行业应用趋势、掌握平台部署运维管理为知识目标；能参与项目实施管理、数据分析处理及撰写报告文档为能力目标。通过实习单位介绍、安全培训，以及大数据平台架构组件、数据采集预处理、分析挖掘、可视化技术、部署配置、运维优化等模块学习，采用以企业实习为主，结合现场指导案例分析的模式，运用现场操作、案例分析、小组讨论等方法，依托企业合作提供的真实环境，通过实习报告、项目成果、企业反馈等评价，助力学生掌握大数据全流程技能。</w:t>
            </w:r>
          </w:p>
        </w:tc>
        <w:tc>
          <w:tcPr>
            <w:tcW w:w="2672" w:type="dxa"/>
            <w:vAlign w:val="top"/>
          </w:tcPr>
          <w:p w14:paraId="58AFEB94">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(1)教学模式：以企业实习为主，结合现场指导和案例分析。</w:t>
            </w:r>
          </w:p>
          <w:p w14:paraId="3B629C3D">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(2)教学方法：通过现场操作、案例分析、小组讨论等方法，提高学生的实际操作能力和问题解决能力。</w:t>
            </w:r>
          </w:p>
          <w:p w14:paraId="670816E7">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(3)教学条件：与企业合作，提供真实的大数据平台环境，确保学生有足够的实践机会。</w:t>
            </w:r>
          </w:p>
          <w:p w14:paraId="3AF7C55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(4)评价建议：通过实习报告、项目成果和企业反馈等多种形式，全面评价学生的学习效果，注重学生的实际操作能力和项目管理能力。</w:t>
            </w:r>
          </w:p>
        </w:tc>
      </w:tr>
      <w:tr w14:paraId="6BC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62" w:type="dxa"/>
            <w:vAlign w:val="center"/>
          </w:tcPr>
          <w:p w14:paraId="79B947C0">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i w:val="0"/>
                <w:iCs w:val="0"/>
                <w:color w:val="000000" w:themeColor="text1"/>
                <w:kern w:val="0"/>
                <w:sz w:val="18"/>
                <w:szCs w:val="18"/>
                <w:u w:val="none"/>
                <w:lang w:val="en-US" w:eastAsia="zh-CN" w:bidi="ar"/>
                <w14:textFill>
                  <w14:solidFill>
                    <w14:schemeClr w14:val="tx1"/>
                  </w14:solidFill>
                </w14:textFill>
              </w:rPr>
              <w:t>毕业设计与毕业教育</w:t>
            </w:r>
          </w:p>
        </w:tc>
        <w:tc>
          <w:tcPr>
            <w:tcW w:w="2744" w:type="dxa"/>
            <w:vAlign w:val="top"/>
          </w:tcPr>
          <w:p w14:paraId="4990663F">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素质目标：</w:t>
            </w:r>
          </w:p>
          <w:p w14:paraId="533A275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(1)培养学生的独立思考和创新能力</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4C98D34E">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(2)增强学生的项目管理和执行能力</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2DCB77FE">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知识目标：</w:t>
            </w:r>
          </w:p>
          <w:p w14:paraId="03563E8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(1)掌握大数据技术领域的前沿知识和技术</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07F59213">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(2)理解大数据项目的设计和实施流程</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476DA0A1">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能力目标：</w:t>
            </w:r>
          </w:p>
          <w:p w14:paraId="37DE4E02">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(1)能够独立完成大数据项目的设计与实现</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10C8019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(2)能够进行大数据项目的优化和评估</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1F592D40">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(3)能够撰写高质量的毕业论文</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tc>
        <w:tc>
          <w:tcPr>
            <w:tcW w:w="2812" w:type="dxa"/>
            <w:vAlign w:val="top"/>
          </w:tcPr>
          <w:p w14:paraId="6626D1B2">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项目载体：基于大数据的行业应用解决方案</w:t>
            </w:r>
          </w:p>
          <w:p w14:paraId="5167E39C">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模块一：毕业设计选题与计划</w:t>
            </w:r>
          </w:p>
          <w:p w14:paraId="0457EC1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模块二：文献综述与技术调研</w:t>
            </w:r>
          </w:p>
          <w:p w14:paraId="044A96EC">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模块三：系统设计与架构</w:t>
            </w:r>
          </w:p>
          <w:p w14:paraId="6B7FE107">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模块四：数据处理与分析</w:t>
            </w:r>
          </w:p>
          <w:p w14:paraId="7AC1FE9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模块五：系统开发与实现</w:t>
            </w:r>
          </w:p>
          <w:p w14:paraId="335DE6EC">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模块六：系统测试与评估</w:t>
            </w:r>
          </w:p>
          <w:p w14:paraId="54A96A60">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模块七：毕业论文撰写</w:t>
            </w:r>
          </w:p>
        </w:tc>
        <w:tc>
          <w:tcPr>
            <w:tcW w:w="2672" w:type="dxa"/>
            <w:vAlign w:val="top"/>
          </w:tcPr>
          <w:p w14:paraId="5468DA2E">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(1)教学模式：以项目为导向，结合理论研究和实践操作。</w:t>
            </w:r>
          </w:p>
          <w:p w14:paraId="6D739C27">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(2)教学方法：通过讲授、讨论、实验、项目开发等方法，提高学生的独立研究和创新能力。</w:t>
            </w:r>
          </w:p>
          <w:p w14:paraId="5A090C00">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(3)教学条件：提供必要的实验环境和工具，确保学生有足够的实践机会。</w:t>
            </w:r>
          </w:p>
          <w:p w14:paraId="384D2C09">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(4)评价建议：通过毕业设计、论文撰写等环节，全面评价学生的学习效果，注重学生的创新能力和实践能力。</w:t>
            </w:r>
          </w:p>
        </w:tc>
      </w:tr>
    </w:tbl>
    <w:p w14:paraId="2E883030">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outlineLvl w:val="9"/>
        <w:rPr>
          <w:rFonts w:hint="eastAsia" w:ascii="Times New Roman" w:hAnsi="Times New Roman"/>
          <w:lang w:val="en-US" w:eastAsia="zh-CN"/>
        </w:rPr>
      </w:pPr>
      <w:bookmarkStart w:id="22" w:name="_Toc16644"/>
    </w:p>
    <w:p w14:paraId="7E05E20A">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七、教学进程总体安排</w:t>
      </w:r>
      <w:bookmarkEnd w:id="22"/>
    </w:p>
    <w:p w14:paraId="56C1509A">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cs="Times New Roman"/>
          <w:b/>
          <w:sz w:val="21"/>
          <w:szCs w:val="21"/>
          <w:lang w:eastAsia="zh-CN"/>
        </w:rPr>
      </w:pPr>
      <w:bookmarkStart w:id="23" w:name="_Toc3332"/>
      <w:bookmarkStart w:id="24" w:name="_Toc18647"/>
      <w:r>
        <w:rPr>
          <w:rFonts w:hint="eastAsia" w:ascii="Times New Roman" w:hAnsi="Times New Roman" w:cs="Times New Roman"/>
          <w:b/>
          <w:sz w:val="21"/>
          <w:szCs w:val="21"/>
          <w:lang w:val="en-US" w:eastAsia="zh-CN"/>
        </w:rPr>
        <w:t>（一）教学</w:t>
      </w:r>
      <w:r>
        <w:rPr>
          <w:rFonts w:hint="eastAsia" w:ascii="Times New Roman" w:hAnsi="Times New Roman" w:cs="Times New Roman"/>
          <w:b/>
          <w:sz w:val="21"/>
          <w:szCs w:val="21"/>
          <w:lang w:eastAsia="zh-CN"/>
        </w:rPr>
        <w:t>周数</w:t>
      </w:r>
      <w:r>
        <w:rPr>
          <w:rFonts w:hint="eastAsia" w:ascii="Times New Roman" w:hAnsi="Times New Roman" w:cs="Times New Roman"/>
          <w:b/>
          <w:sz w:val="21"/>
          <w:szCs w:val="21"/>
          <w:lang w:val="en-US" w:eastAsia="zh-CN"/>
        </w:rPr>
        <w:t>分学期</w:t>
      </w:r>
      <w:r>
        <w:rPr>
          <w:rFonts w:hint="eastAsia" w:ascii="Times New Roman" w:hAnsi="Times New Roman" w:cs="Times New Roman"/>
          <w:b/>
          <w:sz w:val="21"/>
          <w:szCs w:val="21"/>
          <w:lang w:eastAsia="zh-CN"/>
        </w:rPr>
        <w:t>分配表</w:t>
      </w:r>
      <w:bookmarkEnd w:id="23"/>
      <w:bookmarkEnd w:id="24"/>
    </w:p>
    <w:p w14:paraId="50F15E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2"/>
          <w:szCs w:val="28"/>
          <w:lang w:val="en-US" w:eastAsia="zh-CN"/>
        </w:rPr>
        <w:t xml:space="preserve">                                                            </w:t>
      </w:r>
      <w:r>
        <w:rPr>
          <w:rFonts w:hint="eastAsia" w:ascii="Times New Roman" w:hAnsi="Times New Roman" w:eastAsia="宋体" w:cs="Times New Roman"/>
          <w:b/>
          <w:bCs/>
          <w:sz w:val="21"/>
          <w:szCs w:val="21"/>
          <w:lang w:val="en-US" w:eastAsia="zh-CN"/>
        </w:rPr>
        <w:t>单位：周</w:t>
      </w:r>
    </w:p>
    <w:tbl>
      <w:tblPr>
        <w:tblStyle w:val="13"/>
        <w:tblpPr w:leftFromText="180" w:rightFromText="180" w:vertAnchor="text" w:horzAnchor="page" w:tblpXSpec="center" w:tblpY="8"/>
        <w:tblOverlap w:val="never"/>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2945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1" w:type="dxa"/>
            <w:tcBorders>
              <w:tl2br w:val="single" w:color="auto" w:sz="4" w:space="0"/>
            </w:tcBorders>
            <w:shd w:val="clear" w:color="auto" w:fill="F2F2F2"/>
            <w:vAlign w:val="center"/>
          </w:tcPr>
          <w:p w14:paraId="75409F9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 xml:space="preserve">    分类</w:t>
            </w:r>
          </w:p>
          <w:p w14:paraId="10E3EFC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学期</w:t>
            </w:r>
          </w:p>
        </w:tc>
        <w:tc>
          <w:tcPr>
            <w:tcW w:w="1210" w:type="dxa"/>
            <w:shd w:val="clear" w:color="auto" w:fill="F2F2F2"/>
            <w:vAlign w:val="center"/>
          </w:tcPr>
          <w:p w14:paraId="1FD8AD7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理实一体教学</w:t>
            </w:r>
          </w:p>
        </w:tc>
        <w:tc>
          <w:tcPr>
            <w:tcW w:w="1167" w:type="dxa"/>
            <w:shd w:val="clear" w:color="auto" w:fill="F2F2F2"/>
            <w:vAlign w:val="center"/>
          </w:tcPr>
          <w:p w14:paraId="2C18B86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综合实践教学</w:t>
            </w:r>
          </w:p>
        </w:tc>
        <w:tc>
          <w:tcPr>
            <w:tcW w:w="1085" w:type="dxa"/>
            <w:shd w:val="clear" w:color="auto" w:fill="F2F2F2"/>
            <w:vAlign w:val="center"/>
          </w:tcPr>
          <w:p w14:paraId="328B949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军事技能训练</w:t>
            </w:r>
          </w:p>
        </w:tc>
        <w:tc>
          <w:tcPr>
            <w:tcW w:w="1155" w:type="dxa"/>
            <w:shd w:val="clear" w:color="auto" w:fill="F2F2F2"/>
            <w:vAlign w:val="center"/>
          </w:tcPr>
          <w:p w14:paraId="6652C71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岗</w:t>
            </w:r>
            <w:r>
              <w:rPr>
                <w:rFonts w:hint="eastAsia" w:ascii="Times New Roman" w:hAnsi="Times New Roman" w:cs="宋体"/>
                <w:b/>
                <w:bCs/>
                <w:sz w:val="18"/>
                <w:szCs w:val="18"/>
                <w:lang w:val="en-US" w:eastAsia="zh-CN"/>
              </w:rPr>
              <w:t>位</w:t>
            </w:r>
            <w:r>
              <w:rPr>
                <w:rFonts w:hint="eastAsia" w:ascii="Times New Roman" w:hAnsi="Times New Roman" w:eastAsia="宋体" w:cs="宋体"/>
                <w:b/>
                <w:bCs/>
                <w:sz w:val="18"/>
                <w:szCs w:val="18"/>
                <w:lang w:val="en-US" w:eastAsia="zh-CN"/>
              </w:rPr>
              <w:t>实习</w:t>
            </w:r>
          </w:p>
        </w:tc>
        <w:tc>
          <w:tcPr>
            <w:tcW w:w="1411" w:type="dxa"/>
            <w:shd w:val="clear" w:color="auto" w:fill="F2F2F2"/>
            <w:vAlign w:val="center"/>
          </w:tcPr>
          <w:p w14:paraId="4B92A93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毕业设计与毕业教育</w:t>
            </w:r>
          </w:p>
        </w:tc>
        <w:tc>
          <w:tcPr>
            <w:tcW w:w="698" w:type="dxa"/>
            <w:shd w:val="clear" w:color="auto" w:fill="F2F2F2"/>
            <w:vAlign w:val="center"/>
          </w:tcPr>
          <w:p w14:paraId="42B6FA2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考试</w:t>
            </w:r>
          </w:p>
        </w:tc>
        <w:tc>
          <w:tcPr>
            <w:tcW w:w="496" w:type="dxa"/>
            <w:shd w:val="clear" w:color="auto" w:fill="F2F2F2"/>
            <w:vAlign w:val="center"/>
          </w:tcPr>
          <w:p w14:paraId="1548DC5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机动</w:t>
            </w:r>
          </w:p>
        </w:tc>
        <w:tc>
          <w:tcPr>
            <w:tcW w:w="570" w:type="dxa"/>
            <w:shd w:val="clear" w:color="auto" w:fill="F2F2F2"/>
            <w:vAlign w:val="center"/>
          </w:tcPr>
          <w:p w14:paraId="5F3E4EB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合计</w:t>
            </w:r>
          </w:p>
        </w:tc>
      </w:tr>
      <w:tr w14:paraId="2435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223E39D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第一学期</w:t>
            </w:r>
          </w:p>
        </w:tc>
        <w:tc>
          <w:tcPr>
            <w:tcW w:w="1210" w:type="dxa"/>
            <w:vAlign w:val="center"/>
          </w:tcPr>
          <w:p w14:paraId="37960FE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r>
              <w:rPr>
                <w:rFonts w:hint="eastAsia" w:ascii="Times New Roman" w:hAnsi="Times New Roman" w:cs="宋体"/>
                <w:color w:val="000000" w:themeColor="text1"/>
                <w:sz w:val="18"/>
                <w:szCs w:val="18"/>
                <w:lang w:val="en-US" w:eastAsia="zh-CN"/>
                <w14:textFill>
                  <w14:solidFill>
                    <w14:schemeClr w14:val="tx1"/>
                  </w14:solidFill>
                </w14:textFill>
              </w:rPr>
              <w:t>6</w:t>
            </w:r>
          </w:p>
        </w:tc>
        <w:tc>
          <w:tcPr>
            <w:tcW w:w="1167" w:type="dxa"/>
            <w:vAlign w:val="center"/>
          </w:tcPr>
          <w:p w14:paraId="749FF59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2FF114B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3</w:t>
            </w:r>
          </w:p>
        </w:tc>
        <w:tc>
          <w:tcPr>
            <w:tcW w:w="1155" w:type="dxa"/>
            <w:vAlign w:val="center"/>
          </w:tcPr>
          <w:p w14:paraId="05DFC2B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411" w:type="dxa"/>
            <w:vAlign w:val="center"/>
          </w:tcPr>
          <w:p w14:paraId="261CED3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2E99CAF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7827C82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0</w:t>
            </w:r>
          </w:p>
        </w:tc>
        <w:tc>
          <w:tcPr>
            <w:tcW w:w="570" w:type="dxa"/>
            <w:vAlign w:val="center"/>
          </w:tcPr>
          <w:p w14:paraId="56A66B2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5F56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09C35AB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第二学期</w:t>
            </w:r>
          </w:p>
        </w:tc>
        <w:tc>
          <w:tcPr>
            <w:tcW w:w="1210" w:type="dxa"/>
            <w:vAlign w:val="center"/>
          </w:tcPr>
          <w:p w14:paraId="609AAD1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r>
              <w:rPr>
                <w:rFonts w:hint="eastAsia" w:ascii="Times New Roman" w:hAnsi="Times New Roman" w:cs="宋体"/>
                <w:color w:val="000000" w:themeColor="text1"/>
                <w:sz w:val="18"/>
                <w:szCs w:val="18"/>
                <w:lang w:val="en-US" w:eastAsia="zh-CN"/>
                <w14:textFill>
                  <w14:solidFill>
                    <w14:schemeClr w14:val="tx1"/>
                  </w14:solidFill>
                </w14:textFill>
              </w:rPr>
              <w:t>8</w:t>
            </w:r>
          </w:p>
        </w:tc>
        <w:tc>
          <w:tcPr>
            <w:tcW w:w="1167" w:type="dxa"/>
            <w:vAlign w:val="center"/>
          </w:tcPr>
          <w:p w14:paraId="50A4C65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宋体"/>
                <w:color w:val="000000" w:themeColor="text1"/>
                <w:sz w:val="18"/>
                <w:szCs w:val="18"/>
                <w:lang w:val="en-US" w:eastAsia="zh-CN"/>
                <w14:textFill>
                  <w14:solidFill>
                    <w14:schemeClr w14:val="tx1"/>
                  </w14:solidFill>
                </w14:textFill>
              </w:rPr>
            </w:pPr>
          </w:p>
        </w:tc>
        <w:tc>
          <w:tcPr>
            <w:tcW w:w="1085" w:type="dxa"/>
            <w:vAlign w:val="center"/>
          </w:tcPr>
          <w:p w14:paraId="2CCE67F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0F22A6C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411" w:type="dxa"/>
            <w:vAlign w:val="center"/>
          </w:tcPr>
          <w:p w14:paraId="64A538E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01DBDE9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42E839E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041A9D5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018C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68F8448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第三学期</w:t>
            </w:r>
          </w:p>
        </w:tc>
        <w:tc>
          <w:tcPr>
            <w:tcW w:w="1210" w:type="dxa"/>
            <w:vAlign w:val="center"/>
          </w:tcPr>
          <w:p w14:paraId="18213B9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r>
              <w:rPr>
                <w:rFonts w:hint="eastAsia" w:ascii="Times New Roman" w:hAnsi="Times New Roman" w:cs="宋体"/>
                <w:color w:val="000000" w:themeColor="text1"/>
                <w:sz w:val="18"/>
                <w:szCs w:val="18"/>
                <w:lang w:val="en-US" w:eastAsia="zh-CN"/>
                <w14:textFill>
                  <w14:solidFill>
                    <w14:schemeClr w14:val="tx1"/>
                  </w14:solidFill>
                </w14:textFill>
              </w:rPr>
              <w:t>8</w:t>
            </w:r>
          </w:p>
        </w:tc>
        <w:tc>
          <w:tcPr>
            <w:tcW w:w="1167" w:type="dxa"/>
            <w:vAlign w:val="center"/>
          </w:tcPr>
          <w:p w14:paraId="2D732CE8">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77F8630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5B899AE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411" w:type="dxa"/>
            <w:vAlign w:val="center"/>
          </w:tcPr>
          <w:p w14:paraId="417E3CE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1E49573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167C443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3B18976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5431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A2D866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第四学期</w:t>
            </w:r>
          </w:p>
        </w:tc>
        <w:tc>
          <w:tcPr>
            <w:tcW w:w="1210" w:type="dxa"/>
            <w:vAlign w:val="center"/>
          </w:tcPr>
          <w:p w14:paraId="4A83D04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r>
              <w:rPr>
                <w:rFonts w:hint="eastAsia" w:ascii="Times New Roman" w:hAnsi="Times New Roman" w:cs="宋体"/>
                <w:color w:val="000000" w:themeColor="text1"/>
                <w:sz w:val="18"/>
                <w:szCs w:val="18"/>
                <w:lang w:val="en-US" w:eastAsia="zh-CN"/>
                <w14:textFill>
                  <w14:solidFill>
                    <w14:schemeClr w14:val="tx1"/>
                  </w14:solidFill>
                </w14:textFill>
              </w:rPr>
              <w:t>8</w:t>
            </w:r>
          </w:p>
        </w:tc>
        <w:tc>
          <w:tcPr>
            <w:tcW w:w="1167" w:type="dxa"/>
            <w:vAlign w:val="center"/>
          </w:tcPr>
          <w:p w14:paraId="74451FC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0B2FA78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121D3C3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411" w:type="dxa"/>
            <w:vAlign w:val="center"/>
          </w:tcPr>
          <w:p w14:paraId="489EFBA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33628D1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476F886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7591AFC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6D30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2DA7321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第五学期</w:t>
            </w:r>
          </w:p>
        </w:tc>
        <w:tc>
          <w:tcPr>
            <w:tcW w:w="1210" w:type="dxa"/>
            <w:vAlign w:val="center"/>
          </w:tcPr>
          <w:p w14:paraId="1766511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67" w:type="dxa"/>
            <w:vAlign w:val="center"/>
          </w:tcPr>
          <w:p w14:paraId="3C87C7E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46051CB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4A5B5FE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18</w:t>
            </w:r>
          </w:p>
        </w:tc>
        <w:tc>
          <w:tcPr>
            <w:tcW w:w="1411" w:type="dxa"/>
            <w:vAlign w:val="center"/>
          </w:tcPr>
          <w:p w14:paraId="2170523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176C6E3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2F897A8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46A6B6B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5450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855C40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第六学期</w:t>
            </w:r>
          </w:p>
        </w:tc>
        <w:tc>
          <w:tcPr>
            <w:tcW w:w="1210" w:type="dxa"/>
            <w:vAlign w:val="center"/>
          </w:tcPr>
          <w:p w14:paraId="183C324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67" w:type="dxa"/>
            <w:vAlign w:val="center"/>
          </w:tcPr>
          <w:p w14:paraId="0FDA6A6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2ECBA76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0F022A2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8</w:t>
            </w:r>
          </w:p>
        </w:tc>
        <w:tc>
          <w:tcPr>
            <w:tcW w:w="1411" w:type="dxa"/>
            <w:vAlign w:val="center"/>
          </w:tcPr>
          <w:p w14:paraId="46E4BAB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10</w:t>
            </w:r>
          </w:p>
        </w:tc>
        <w:tc>
          <w:tcPr>
            <w:tcW w:w="698" w:type="dxa"/>
            <w:vAlign w:val="center"/>
          </w:tcPr>
          <w:p w14:paraId="353842D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675D9B8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75A5DFD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06B2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1" w:type="dxa"/>
            <w:vAlign w:val="bottom"/>
          </w:tcPr>
          <w:p w14:paraId="5A25054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总计</w:t>
            </w:r>
          </w:p>
        </w:tc>
        <w:tc>
          <w:tcPr>
            <w:tcW w:w="1210" w:type="dxa"/>
            <w:vAlign w:val="center"/>
          </w:tcPr>
          <w:p w14:paraId="106D574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70</w:t>
            </w:r>
          </w:p>
        </w:tc>
        <w:tc>
          <w:tcPr>
            <w:tcW w:w="1167" w:type="dxa"/>
            <w:vAlign w:val="center"/>
          </w:tcPr>
          <w:p w14:paraId="0B3E169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0</w:t>
            </w:r>
          </w:p>
        </w:tc>
        <w:tc>
          <w:tcPr>
            <w:tcW w:w="1085" w:type="dxa"/>
            <w:vAlign w:val="center"/>
          </w:tcPr>
          <w:p w14:paraId="5F3CB25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3</w:t>
            </w:r>
          </w:p>
        </w:tc>
        <w:tc>
          <w:tcPr>
            <w:tcW w:w="1155" w:type="dxa"/>
            <w:vAlign w:val="center"/>
          </w:tcPr>
          <w:p w14:paraId="27A6E3D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26</w:t>
            </w:r>
          </w:p>
        </w:tc>
        <w:tc>
          <w:tcPr>
            <w:tcW w:w="1411" w:type="dxa"/>
            <w:vAlign w:val="center"/>
          </w:tcPr>
          <w:p w14:paraId="702BACB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10</w:t>
            </w:r>
          </w:p>
        </w:tc>
        <w:tc>
          <w:tcPr>
            <w:tcW w:w="698" w:type="dxa"/>
            <w:vAlign w:val="center"/>
          </w:tcPr>
          <w:p w14:paraId="77744EE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6</w:t>
            </w:r>
          </w:p>
        </w:tc>
        <w:tc>
          <w:tcPr>
            <w:tcW w:w="496" w:type="dxa"/>
            <w:vAlign w:val="center"/>
          </w:tcPr>
          <w:p w14:paraId="736388D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5</w:t>
            </w:r>
          </w:p>
        </w:tc>
        <w:tc>
          <w:tcPr>
            <w:tcW w:w="570" w:type="dxa"/>
            <w:vAlign w:val="center"/>
          </w:tcPr>
          <w:p w14:paraId="6477BDF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120</w:t>
            </w:r>
          </w:p>
        </w:tc>
      </w:tr>
    </w:tbl>
    <w:p w14:paraId="73E3E7AA">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Times New Roman" w:hAnsi="Times New Roman" w:eastAsia="宋体" w:cs="Times New Roman"/>
          <w:b/>
          <w:sz w:val="21"/>
          <w:szCs w:val="21"/>
          <w:lang w:val="en-US" w:eastAsia="zh-CN"/>
        </w:rPr>
      </w:pPr>
      <w:bookmarkStart w:id="25" w:name="_Toc9607"/>
      <w:bookmarkStart w:id="26" w:name="_Toc10922"/>
      <w:r>
        <w:rPr>
          <w:rFonts w:hint="eastAsia" w:ascii="Times New Roman" w:hAnsi="Times New Roman" w:eastAsia="宋体" w:cs="Times New Roman"/>
          <w:b/>
          <w:sz w:val="21"/>
          <w:szCs w:val="21"/>
          <w:lang w:val="en-US" w:eastAsia="zh-CN"/>
        </w:rPr>
        <w:t>（二）教学历程表</w:t>
      </w:r>
      <w:bookmarkEnd w:id="25"/>
      <w:bookmarkEnd w:id="26"/>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27D4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504" w:type="dxa"/>
            <w:vMerge w:val="restart"/>
            <w:vAlign w:val="center"/>
          </w:tcPr>
          <w:p w14:paraId="68AAED7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学</w:t>
            </w:r>
          </w:p>
          <w:p w14:paraId="6F2D4255">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年</w:t>
            </w:r>
          </w:p>
        </w:tc>
        <w:tc>
          <w:tcPr>
            <w:tcW w:w="486" w:type="dxa"/>
            <w:vMerge w:val="restart"/>
            <w:vAlign w:val="center"/>
          </w:tcPr>
          <w:p w14:paraId="581A475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学</w:t>
            </w:r>
          </w:p>
          <w:p w14:paraId="004AF140">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期</w:t>
            </w:r>
          </w:p>
        </w:tc>
        <w:tc>
          <w:tcPr>
            <w:tcW w:w="8077" w:type="dxa"/>
            <w:gridSpan w:val="20"/>
            <w:vAlign w:val="center"/>
          </w:tcPr>
          <w:p w14:paraId="110F8C8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周次</w:t>
            </w:r>
          </w:p>
        </w:tc>
      </w:tr>
      <w:tr w14:paraId="6AB4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4" w:type="dxa"/>
            <w:vMerge w:val="continue"/>
            <w:vAlign w:val="center"/>
          </w:tcPr>
          <w:p w14:paraId="63DD579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p>
        </w:tc>
        <w:tc>
          <w:tcPr>
            <w:tcW w:w="486" w:type="dxa"/>
            <w:vMerge w:val="continue"/>
            <w:vAlign w:val="center"/>
          </w:tcPr>
          <w:p w14:paraId="6AA7ABC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p>
        </w:tc>
        <w:tc>
          <w:tcPr>
            <w:tcW w:w="406" w:type="dxa"/>
            <w:vAlign w:val="center"/>
          </w:tcPr>
          <w:p w14:paraId="250F6C1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w:t>
            </w:r>
          </w:p>
        </w:tc>
        <w:tc>
          <w:tcPr>
            <w:tcW w:w="383" w:type="dxa"/>
            <w:vAlign w:val="center"/>
          </w:tcPr>
          <w:p w14:paraId="6A72469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2</w:t>
            </w:r>
          </w:p>
        </w:tc>
        <w:tc>
          <w:tcPr>
            <w:tcW w:w="406" w:type="dxa"/>
            <w:vAlign w:val="center"/>
          </w:tcPr>
          <w:p w14:paraId="71E98DE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3</w:t>
            </w:r>
          </w:p>
        </w:tc>
        <w:tc>
          <w:tcPr>
            <w:tcW w:w="374" w:type="dxa"/>
            <w:vAlign w:val="center"/>
          </w:tcPr>
          <w:p w14:paraId="6702231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4</w:t>
            </w:r>
          </w:p>
        </w:tc>
        <w:tc>
          <w:tcPr>
            <w:tcW w:w="397" w:type="dxa"/>
            <w:vAlign w:val="center"/>
          </w:tcPr>
          <w:p w14:paraId="29D9B14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5</w:t>
            </w:r>
          </w:p>
        </w:tc>
        <w:tc>
          <w:tcPr>
            <w:tcW w:w="397" w:type="dxa"/>
            <w:vAlign w:val="center"/>
          </w:tcPr>
          <w:p w14:paraId="7C4E376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6</w:t>
            </w:r>
          </w:p>
        </w:tc>
        <w:tc>
          <w:tcPr>
            <w:tcW w:w="383" w:type="dxa"/>
            <w:vAlign w:val="center"/>
          </w:tcPr>
          <w:p w14:paraId="75C92C0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7</w:t>
            </w:r>
          </w:p>
        </w:tc>
        <w:tc>
          <w:tcPr>
            <w:tcW w:w="383" w:type="dxa"/>
            <w:vAlign w:val="center"/>
          </w:tcPr>
          <w:p w14:paraId="45E43F3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8</w:t>
            </w:r>
          </w:p>
        </w:tc>
        <w:tc>
          <w:tcPr>
            <w:tcW w:w="383" w:type="dxa"/>
            <w:vAlign w:val="center"/>
          </w:tcPr>
          <w:p w14:paraId="00F50A4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9</w:t>
            </w:r>
          </w:p>
        </w:tc>
        <w:tc>
          <w:tcPr>
            <w:tcW w:w="383" w:type="dxa"/>
            <w:vAlign w:val="center"/>
          </w:tcPr>
          <w:p w14:paraId="30AFCF4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10</w:t>
            </w:r>
          </w:p>
        </w:tc>
        <w:tc>
          <w:tcPr>
            <w:tcW w:w="397" w:type="dxa"/>
            <w:vAlign w:val="center"/>
          </w:tcPr>
          <w:p w14:paraId="1D044E2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11</w:t>
            </w:r>
          </w:p>
        </w:tc>
        <w:tc>
          <w:tcPr>
            <w:tcW w:w="390" w:type="dxa"/>
            <w:vAlign w:val="center"/>
          </w:tcPr>
          <w:p w14:paraId="3E952A38">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12</w:t>
            </w:r>
          </w:p>
        </w:tc>
        <w:tc>
          <w:tcPr>
            <w:tcW w:w="397" w:type="dxa"/>
            <w:vAlign w:val="center"/>
          </w:tcPr>
          <w:p w14:paraId="6E1ECBF9">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13</w:t>
            </w:r>
          </w:p>
        </w:tc>
        <w:tc>
          <w:tcPr>
            <w:tcW w:w="397" w:type="dxa"/>
            <w:vAlign w:val="center"/>
          </w:tcPr>
          <w:p w14:paraId="739ADCE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14</w:t>
            </w:r>
          </w:p>
        </w:tc>
        <w:tc>
          <w:tcPr>
            <w:tcW w:w="397" w:type="dxa"/>
            <w:vAlign w:val="center"/>
          </w:tcPr>
          <w:p w14:paraId="4F4FC20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15</w:t>
            </w:r>
          </w:p>
        </w:tc>
        <w:tc>
          <w:tcPr>
            <w:tcW w:w="383" w:type="dxa"/>
            <w:vAlign w:val="center"/>
          </w:tcPr>
          <w:p w14:paraId="4E16D49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16</w:t>
            </w:r>
          </w:p>
        </w:tc>
        <w:tc>
          <w:tcPr>
            <w:tcW w:w="397" w:type="dxa"/>
            <w:vAlign w:val="center"/>
          </w:tcPr>
          <w:p w14:paraId="0E62728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17</w:t>
            </w:r>
          </w:p>
        </w:tc>
        <w:tc>
          <w:tcPr>
            <w:tcW w:w="383" w:type="dxa"/>
            <w:vAlign w:val="center"/>
          </w:tcPr>
          <w:p w14:paraId="1600266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18</w:t>
            </w:r>
          </w:p>
        </w:tc>
        <w:tc>
          <w:tcPr>
            <w:tcW w:w="389" w:type="dxa"/>
            <w:vAlign w:val="center"/>
          </w:tcPr>
          <w:p w14:paraId="68030BF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19</w:t>
            </w:r>
          </w:p>
        </w:tc>
        <w:tc>
          <w:tcPr>
            <w:tcW w:w="652" w:type="dxa"/>
            <w:vAlign w:val="center"/>
          </w:tcPr>
          <w:p w14:paraId="26A6DEA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20</w:t>
            </w:r>
          </w:p>
        </w:tc>
      </w:tr>
      <w:tr w14:paraId="4D84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jc w:val="center"/>
        </w:trPr>
        <w:tc>
          <w:tcPr>
            <w:tcW w:w="504" w:type="dxa"/>
            <w:vMerge w:val="restart"/>
            <w:vAlign w:val="center"/>
          </w:tcPr>
          <w:p w14:paraId="1F07CB2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一</w:t>
            </w:r>
          </w:p>
        </w:tc>
        <w:tc>
          <w:tcPr>
            <w:tcW w:w="486" w:type="dxa"/>
            <w:vAlign w:val="center"/>
          </w:tcPr>
          <w:p w14:paraId="1D9D506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406" w:type="dxa"/>
            <w:vAlign w:val="center"/>
          </w:tcPr>
          <w:p w14:paraId="25C9121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7B3D844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406" w:type="dxa"/>
            <w:vAlign w:val="center"/>
          </w:tcPr>
          <w:p w14:paraId="1942C55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74" w:type="dxa"/>
            <w:vAlign w:val="center"/>
          </w:tcPr>
          <w:p w14:paraId="2217F8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6C9C0C7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73A32D3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65E70D0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7449394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45316A1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6248CD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7B8146C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0" w:type="dxa"/>
            <w:vAlign w:val="center"/>
          </w:tcPr>
          <w:p w14:paraId="64AC098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44FCE73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25570AA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30C38EF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169165E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2B50AA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2F475B2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9" w:type="dxa"/>
            <w:vAlign w:val="center"/>
          </w:tcPr>
          <w:p w14:paraId="5631457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652" w:type="dxa"/>
            <w:vAlign w:val="center"/>
          </w:tcPr>
          <w:p w14:paraId="24EB1E6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7AF8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504" w:type="dxa"/>
            <w:vMerge w:val="continue"/>
            <w:vAlign w:val="center"/>
          </w:tcPr>
          <w:p w14:paraId="1E810B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p>
        </w:tc>
        <w:tc>
          <w:tcPr>
            <w:tcW w:w="486" w:type="dxa"/>
            <w:vAlign w:val="center"/>
          </w:tcPr>
          <w:p w14:paraId="6830CAC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406" w:type="dxa"/>
            <w:vAlign w:val="center"/>
          </w:tcPr>
          <w:p w14:paraId="0A6715B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C085B6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67230A2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68FB28F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5D5AD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0034D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424CEE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43241A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DFF3A8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81CBB3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D22CC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51AC7A0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66EB77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03A4CE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31359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69DCB37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9B4C229">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3" w:type="dxa"/>
            <w:vAlign w:val="center"/>
          </w:tcPr>
          <w:p w14:paraId="250F6D1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9" w:type="dxa"/>
            <w:vAlign w:val="center"/>
          </w:tcPr>
          <w:p w14:paraId="6A2DE43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09246CB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5C5D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504" w:type="dxa"/>
            <w:vMerge w:val="restart"/>
            <w:vAlign w:val="center"/>
          </w:tcPr>
          <w:p w14:paraId="74923A6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二</w:t>
            </w:r>
          </w:p>
        </w:tc>
        <w:tc>
          <w:tcPr>
            <w:tcW w:w="486" w:type="dxa"/>
            <w:vAlign w:val="center"/>
          </w:tcPr>
          <w:p w14:paraId="3B13CF3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406" w:type="dxa"/>
            <w:vAlign w:val="center"/>
          </w:tcPr>
          <w:p w14:paraId="65C698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387A13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1E0B91E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6F6C95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3ACBA29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D5DC01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02624B9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CF1202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2438B0D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6841A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3F5E57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02D676B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8A566A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22603F8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96A8D5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3093E3A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90F83A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3" w:type="dxa"/>
            <w:vAlign w:val="center"/>
          </w:tcPr>
          <w:p w14:paraId="55CFA97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9" w:type="dxa"/>
            <w:vAlign w:val="center"/>
          </w:tcPr>
          <w:p w14:paraId="15438B5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27FDAB4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4739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4" w:type="dxa"/>
            <w:vMerge w:val="continue"/>
            <w:vAlign w:val="center"/>
          </w:tcPr>
          <w:p w14:paraId="3E0F3C1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p>
        </w:tc>
        <w:tc>
          <w:tcPr>
            <w:tcW w:w="486" w:type="dxa"/>
            <w:vAlign w:val="center"/>
          </w:tcPr>
          <w:p w14:paraId="418AFDE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406" w:type="dxa"/>
            <w:vAlign w:val="center"/>
          </w:tcPr>
          <w:p w14:paraId="03D0AD9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3E793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0E22F01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2C42CD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30E16B4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416D22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DAE37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40CD15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0FAAC5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0CBDA0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BCCF2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6D03ECB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12FC4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614B4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80BBB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038C49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A51D50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3" w:type="dxa"/>
            <w:vAlign w:val="center"/>
          </w:tcPr>
          <w:p w14:paraId="0C09ABB6">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9" w:type="dxa"/>
            <w:vAlign w:val="center"/>
          </w:tcPr>
          <w:p w14:paraId="06608CF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3A55436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7567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504" w:type="dxa"/>
            <w:vMerge w:val="restart"/>
            <w:vAlign w:val="center"/>
          </w:tcPr>
          <w:p w14:paraId="79AA80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三</w:t>
            </w:r>
          </w:p>
        </w:tc>
        <w:tc>
          <w:tcPr>
            <w:tcW w:w="486" w:type="dxa"/>
            <w:vAlign w:val="center"/>
          </w:tcPr>
          <w:p w14:paraId="3CC51E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5</w:t>
            </w:r>
          </w:p>
        </w:tc>
        <w:tc>
          <w:tcPr>
            <w:tcW w:w="406" w:type="dxa"/>
            <w:vAlign w:val="center"/>
          </w:tcPr>
          <w:p w14:paraId="792FCE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408835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215C361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18142A7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6D3635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B5471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F7FB6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E7E9C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15C7F0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935636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5CD536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231AD99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844E57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2CA06D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8BF9DA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3518925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4743A2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4D594DC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9" w:type="dxa"/>
            <w:vAlign w:val="center"/>
          </w:tcPr>
          <w:p w14:paraId="165317C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668FCD8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569E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jc w:val="center"/>
        </w:trPr>
        <w:tc>
          <w:tcPr>
            <w:tcW w:w="504" w:type="dxa"/>
            <w:vMerge w:val="continue"/>
            <w:vAlign w:val="center"/>
          </w:tcPr>
          <w:p w14:paraId="3E96315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p>
        </w:tc>
        <w:tc>
          <w:tcPr>
            <w:tcW w:w="486" w:type="dxa"/>
            <w:vAlign w:val="center"/>
          </w:tcPr>
          <w:p w14:paraId="0C50C6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406" w:type="dxa"/>
            <w:vAlign w:val="center"/>
          </w:tcPr>
          <w:p w14:paraId="1FC7B15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28ABC76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16162AC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3D5344A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4F60E92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709D32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68E1F04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6A29B5C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2FA1C8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2347F4E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BF450C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23EC15A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993F2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4DD8222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7D1523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04D2DB5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F2BCE1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E8441C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9" w:type="dxa"/>
            <w:vAlign w:val="center"/>
          </w:tcPr>
          <w:p w14:paraId="4929F71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04B09C4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bl>
    <w:p w14:paraId="509CFA18">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图注：～理论教学；○实习（实训）；△机动；</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考试；●岗</w:t>
      </w:r>
      <w:r>
        <w:rPr>
          <w:rFonts w:hint="eastAsia" w:ascii="Times New Roman" w:hAnsi="Times New Roman" w:eastAsia="宋体" w:cs="宋体"/>
          <w:color w:val="auto"/>
          <w:sz w:val="21"/>
          <w:szCs w:val="21"/>
          <w:highlight w:val="none"/>
          <w:lang w:val="en-US" w:eastAsia="zh-CN"/>
        </w:rPr>
        <w:t>位</w:t>
      </w:r>
      <w:r>
        <w:rPr>
          <w:rFonts w:hint="eastAsia" w:ascii="Times New Roman" w:hAnsi="Times New Roman" w:eastAsia="宋体" w:cs="宋体"/>
          <w:color w:val="auto"/>
          <w:sz w:val="21"/>
          <w:szCs w:val="21"/>
          <w:highlight w:val="none"/>
        </w:rPr>
        <w:t>实习； /毕业设计；</w:t>
      </w:r>
    </w:p>
    <w:p w14:paraId="7DD10850">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☆军事技能训练；◎毕业教育</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融入毕业设计环节</w:t>
      </w:r>
      <w:r>
        <w:rPr>
          <w:rFonts w:hint="eastAsia" w:ascii="Times New Roman" w:hAnsi="Times New Roman" w:eastAsia="宋体" w:cs="宋体"/>
          <w:color w:val="auto"/>
          <w:sz w:val="21"/>
          <w:szCs w:val="21"/>
          <w:highlight w:val="none"/>
        </w:rPr>
        <w:t>。</w:t>
      </w:r>
    </w:p>
    <w:p w14:paraId="73D02615">
      <w:pPr>
        <w:bidi w:val="0"/>
        <w:rPr>
          <w:rFonts w:hint="eastAsia" w:ascii="Times New Roman" w:hAnsi="Times New Roman"/>
          <w:lang w:val="en-US" w:eastAsia="zh-CN"/>
        </w:rPr>
      </w:pPr>
      <w:r>
        <w:rPr>
          <w:rFonts w:hint="eastAsia" w:ascii="Times New Roman" w:hAnsi="Times New Roman" w:eastAsia="宋体" w:cs="Times New Roman"/>
          <w:b/>
          <w:szCs w:val="21"/>
          <w:lang w:val="en-US" w:eastAsia="zh-CN"/>
        </w:rPr>
        <w:br w:type="page"/>
      </w:r>
    </w:p>
    <w:p w14:paraId="43B6375D">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cs="Times New Roman"/>
          <w:b/>
          <w:sz w:val="21"/>
          <w:szCs w:val="21"/>
          <w:lang w:val="en-US" w:eastAsia="zh-CN"/>
        </w:rPr>
      </w:pPr>
      <w:r>
        <w:rPr>
          <w:rFonts w:hint="eastAsia" w:ascii="Times New Roman" w:hAnsi="Times New Roman" w:cs="Times New Roman"/>
          <w:b/>
          <w:sz w:val="21"/>
          <w:szCs w:val="21"/>
          <w:lang w:val="en-US" w:eastAsia="zh-CN"/>
        </w:rPr>
        <w:t>（三）专业教学进程表</w:t>
      </w:r>
    </w:p>
    <w:p w14:paraId="1CB37888">
      <w:pPr>
        <w:pageBreakBefore w:val="0"/>
        <w:widowControl w:val="0"/>
        <w:kinsoku/>
        <w:wordWrap/>
        <w:overflowPunct/>
        <w:topLinePunct w:val="0"/>
        <w:autoSpaceDE/>
        <w:autoSpaceDN/>
        <w:bidi w:val="0"/>
        <w:spacing w:line="400" w:lineRule="exact"/>
        <w:ind w:firstLine="422" w:firstLineChars="200"/>
        <w:jc w:val="center"/>
        <w:textAlignment w:val="auto"/>
        <w:rPr>
          <w:rFonts w:ascii="Times New Roman" w:hAnsi="Times New Roman"/>
          <w:b/>
          <w:bCs/>
          <w:sz w:val="21"/>
          <w:szCs w:val="21"/>
        </w:rPr>
      </w:pPr>
      <w:r>
        <w:rPr>
          <w:rFonts w:hint="eastAsia" w:ascii="Times New Roman" w:hAnsi="Times New Roman"/>
          <w:b/>
          <w:bCs/>
          <w:sz w:val="21"/>
          <w:szCs w:val="21"/>
        </w:rPr>
        <w:t>专业教学进度安排表</w:t>
      </w:r>
    </w:p>
    <w:tbl>
      <w:tblPr>
        <w:tblStyle w:val="13"/>
        <w:tblW w:w="11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340"/>
        <w:gridCol w:w="450"/>
        <w:gridCol w:w="1003"/>
        <w:gridCol w:w="1669"/>
        <w:gridCol w:w="459"/>
        <w:gridCol w:w="769"/>
        <w:gridCol w:w="694"/>
        <w:gridCol w:w="637"/>
        <w:gridCol w:w="526"/>
        <w:gridCol w:w="539"/>
        <w:gridCol w:w="539"/>
        <w:gridCol w:w="539"/>
        <w:gridCol w:w="539"/>
        <w:gridCol w:w="539"/>
        <w:gridCol w:w="614"/>
        <w:gridCol w:w="606"/>
        <w:gridCol w:w="557"/>
      </w:tblGrid>
      <w:tr w14:paraId="79CC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0" w:type="dxa"/>
            <w:gridSpan w:val="2"/>
            <w:vMerge w:val="restart"/>
            <w:vAlign w:val="center"/>
          </w:tcPr>
          <w:p w14:paraId="5BE6D1D2">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课程类</w:t>
            </w:r>
            <w:r>
              <w:rPr>
                <w:rFonts w:hint="eastAsia" w:ascii="宋体" w:hAnsi="宋体" w:eastAsia="宋体" w:cs="宋体"/>
                <w:color w:val="000000"/>
                <w:kern w:val="0"/>
                <w:sz w:val="18"/>
                <w:szCs w:val="18"/>
                <w:lang w:val="en-US" w:eastAsia="zh-CN"/>
              </w:rPr>
              <w:t>别</w:t>
            </w:r>
          </w:p>
          <w:p w14:paraId="22FF2C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课程性质</w:t>
            </w:r>
          </w:p>
        </w:tc>
        <w:tc>
          <w:tcPr>
            <w:tcW w:w="450" w:type="dxa"/>
            <w:vMerge w:val="restart"/>
            <w:vAlign w:val="center"/>
          </w:tcPr>
          <w:p w14:paraId="183FD7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1003" w:type="dxa"/>
            <w:vMerge w:val="restart"/>
            <w:vAlign w:val="center"/>
          </w:tcPr>
          <w:p w14:paraId="0F9EBC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课程代码</w:t>
            </w:r>
          </w:p>
        </w:tc>
        <w:tc>
          <w:tcPr>
            <w:tcW w:w="1669" w:type="dxa"/>
            <w:vMerge w:val="restart"/>
            <w:vAlign w:val="center"/>
          </w:tcPr>
          <w:p w14:paraId="05D7C9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课程名称</w:t>
            </w:r>
          </w:p>
        </w:tc>
        <w:tc>
          <w:tcPr>
            <w:tcW w:w="459" w:type="dxa"/>
            <w:vMerge w:val="restart"/>
            <w:vAlign w:val="center"/>
          </w:tcPr>
          <w:p w14:paraId="25EDAE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课程类型</w:t>
            </w:r>
          </w:p>
        </w:tc>
        <w:tc>
          <w:tcPr>
            <w:tcW w:w="769" w:type="dxa"/>
            <w:vMerge w:val="restart"/>
            <w:vAlign w:val="center"/>
          </w:tcPr>
          <w:p w14:paraId="3DB154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总学时</w:t>
            </w:r>
          </w:p>
        </w:tc>
        <w:tc>
          <w:tcPr>
            <w:tcW w:w="694" w:type="dxa"/>
            <w:vMerge w:val="restart"/>
            <w:vAlign w:val="center"/>
          </w:tcPr>
          <w:p w14:paraId="7CF5DC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理论学时</w:t>
            </w:r>
          </w:p>
        </w:tc>
        <w:tc>
          <w:tcPr>
            <w:tcW w:w="637" w:type="dxa"/>
            <w:vMerge w:val="restart"/>
            <w:vAlign w:val="center"/>
          </w:tcPr>
          <w:p w14:paraId="7622134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实践学时</w:t>
            </w:r>
          </w:p>
        </w:tc>
        <w:tc>
          <w:tcPr>
            <w:tcW w:w="526" w:type="dxa"/>
            <w:vMerge w:val="restart"/>
            <w:vAlign w:val="center"/>
          </w:tcPr>
          <w:p w14:paraId="2A6FDA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总学分</w:t>
            </w:r>
          </w:p>
        </w:tc>
        <w:tc>
          <w:tcPr>
            <w:tcW w:w="3309" w:type="dxa"/>
            <w:gridSpan w:val="6"/>
            <w:vAlign w:val="center"/>
          </w:tcPr>
          <w:p w14:paraId="55F51EF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按学年、学期及学期学时分配</w:t>
            </w:r>
          </w:p>
        </w:tc>
        <w:tc>
          <w:tcPr>
            <w:tcW w:w="606" w:type="dxa"/>
            <w:vMerge w:val="restart"/>
            <w:vAlign w:val="center"/>
          </w:tcPr>
          <w:p w14:paraId="2D0F59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考核方式</w:t>
            </w:r>
          </w:p>
        </w:tc>
        <w:tc>
          <w:tcPr>
            <w:tcW w:w="557" w:type="dxa"/>
            <w:vMerge w:val="restart"/>
            <w:vAlign w:val="center"/>
          </w:tcPr>
          <w:p w14:paraId="19592B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w:t>
            </w:r>
          </w:p>
        </w:tc>
      </w:tr>
      <w:tr w14:paraId="4E09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0" w:type="dxa"/>
            <w:gridSpan w:val="2"/>
            <w:vMerge w:val="continue"/>
            <w:vAlign w:val="center"/>
          </w:tcPr>
          <w:p w14:paraId="51D61DF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Merge w:val="continue"/>
            <w:vAlign w:val="center"/>
          </w:tcPr>
          <w:p w14:paraId="135DACC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003" w:type="dxa"/>
            <w:vMerge w:val="continue"/>
            <w:vAlign w:val="center"/>
          </w:tcPr>
          <w:p w14:paraId="1FB614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669" w:type="dxa"/>
            <w:vMerge w:val="continue"/>
            <w:vAlign w:val="center"/>
          </w:tcPr>
          <w:p w14:paraId="468D6E5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vMerge w:val="continue"/>
            <w:vAlign w:val="center"/>
          </w:tcPr>
          <w:p w14:paraId="187DA4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69" w:type="dxa"/>
            <w:vMerge w:val="continue"/>
            <w:vAlign w:val="center"/>
          </w:tcPr>
          <w:p w14:paraId="4CAC5F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4" w:type="dxa"/>
            <w:vMerge w:val="continue"/>
            <w:vAlign w:val="center"/>
          </w:tcPr>
          <w:p w14:paraId="33C926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7" w:type="dxa"/>
            <w:vMerge w:val="continue"/>
            <w:vAlign w:val="center"/>
          </w:tcPr>
          <w:p w14:paraId="0196AA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6" w:type="dxa"/>
            <w:vMerge w:val="continue"/>
            <w:vAlign w:val="center"/>
          </w:tcPr>
          <w:p w14:paraId="64FD57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078" w:type="dxa"/>
            <w:gridSpan w:val="2"/>
            <w:vAlign w:val="center"/>
          </w:tcPr>
          <w:p w14:paraId="1FF0DA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第一学年</w:t>
            </w:r>
          </w:p>
        </w:tc>
        <w:tc>
          <w:tcPr>
            <w:tcW w:w="1078" w:type="dxa"/>
            <w:gridSpan w:val="2"/>
            <w:vAlign w:val="center"/>
          </w:tcPr>
          <w:p w14:paraId="638B18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第二学年</w:t>
            </w:r>
          </w:p>
        </w:tc>
        <w:tc>
          <w:tcPr>
            <w:tcW w:w="1153" w:type="dxa"/>
            <w:gridSpan w:val="2"/>
            <w:vAlign w:val="center"/>
          </w:tcPr>
          <w:p w14:paraId="6751B1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第三学年</w:t>
            </w:r>
          </w:p>
        </w:tc>
        <w:tc>
          <w:tcPr>
            <w:tcW w:w="606" w:type="dxa"/>
            <w:vMerge w:val="continue"/>
            <w:vAlign w:val="center"/>
          </w:tcPr>
          <w:p w14:paraId="357663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57" w:type="dxa"/>
            <w:vMerge w:val="continue"/>
            <w:vAlign w:val="center"/>
          </w:tcPr>
          <w:p w14:paraId="3AF0A2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A0E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10" w:type="dxa"/>
            <w:gridSpan w:val="2"/>
            <w:vMerge w:val="continue"/>
            <w:vAlign w:val="center"/>
          </w:tcPr>
          <w:p w14:paraId="7908C9A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Merge w:val="continue"/>
            <w:vAlign w:val="center"/>
          </w:tcPr>
          <w:p w14:paraId="32F938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003" w:type="dxa"/>
            <w:vMerge w:val="continue"/>
            <w:vAlign w:val="center"/>
          </w:tcPr>
          <w:p w14:paraId="4043C9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669" w:type="dxa"/>
            <w:vMerge w:val="continue"/>
            <w:vAlign w:val="center"/>
          </w:tcPr>
          <w:p w14:paraId="1159B9D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vMerge w:val="continue"/>
            <w:vAlign w:val="center"/>
          </w:tcPr>
          <w:p w14:paraId="05E432D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769" w:type="dxa"/>
            <w:vMerge w:val="continue"/>
            <w:vAlign w:val="center"/>
          </w:tcPr>
          <w:p w14:paraId="4AEB3B6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94" w:type="dxa"/>
            <w:vMerge w:val="continue"/>
            <w:vAlign w:val="center"/>
          </w:tcPr>
          <w:p w14:paraId="2A38A7C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7" w:type="dxa"/>
            <w:vMerge w:val="continue"/>
            <w:vAlign w:val="center"/>
          </w:tcPr>
          <w:p w14:paraId="1DA5F61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6" w:type="dxa"/>
            <w:vMerge w:val="continue"/>
            <w:vAlign w:val="center"/>
          </w:tcPr>
          <w:p w14:paraId="4F5AFF3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1CB77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第一学期</w:t>
            </w:r>
          </w:p>
        </w:tc>
        <w:tc>
          <w:tcPr>
            <w:tcW w:w="539" w:type="dxa"/>
            <w:vAlign w:val="center"/>
          </w:tcPr>
          <w:p w14:paraId="762968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第二学期</w:t>
            </w:r>
          </w:p>
        </w:tc>
        <w:tc>
          <w:tcPr>
            <w:tcW w:w="539" w:type="dxa"/>
            <w:vAlign w:val="center"/>
          </w:tcPr>
          <w:p w14:paraId="4DD246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第三学期</w:t>
            </w:r>
          </w:p>
        </w:tc>
        <w:tc>
          <w:tcPr>
            <w:tcW w:w="539" w:type="dxa"/>
            <w:vAlign w:val="center"/>
          </w:tcPr>
          <w:p w14:paraId="04E6C5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第四学期</w:t>
            </w:r>
          </w:p>
        </w:tc>
        <w:tc>
          <w:tcPr>
            <w:tcW w:w="539" w:type="dxa"/>
            <w:vAlign w:val="center"/>
          </w:tcPr>
          <w:p w14:paraId="3CCD7E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第五学期</w:t>
            </w:r>
          </w:p>
        </w:tc>
        <w:tc>
          <w:tcPr>
            <w:tcW w:w="614" w:type="dxa"/>
            <w:vAlign w:val="center"/>
          </w:tcPr>
          <w:p w14:paraId="3B5CB8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w:t>
            </w:r>
          </w:p>
          <w:p w14:paraId="1432A4B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六</w:t>
            </w:r>
          </w:p>
          <w:p w14:paraId="4E6663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学</w:t>
            </w:r>
          </w:p>
          <w:p w14:paraId="1FA218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期</w:t>
            </w:r>
          </w:p>
        </w:tc>
        <w:tc>
          <w:tcPr>
            <w:tcW w:w="606" w:type="dxa"/>
            <w:vMerge w:val="continue"/>
            <w:vAlign w:val="center"/>
          </w:tcPr>
          <w:p w14:paraId="4930A9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7" w:type="dxa"/>
            <w:vMerge w:val="continue"/>
            <w:vAlign w:val="center"/>
          </w:tcPr>
          <w:p w14:paraId="358E12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72A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0" w:type="dxa"/>
            <w:vMerge w:val="restart"/>
            <w:vAlign w:val="center"/>
          </w:tcPr>
          <w:p w14:paraId="1DA7EB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340" w:type="dxa"/>
            <w:vMerge w:val="restart"/>
            <w:vAlign w:val="center"/>
          </w:tcPr>
          <w:p w14:paraId="6A8FA4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450" w:type="dxa"/>
            <w:vAlign w:val="center"/>
          </w:tcPr>
          <w:p w14:paraId="5D5DC0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003" w:type="dxa"/>
            <w:vAlign w:val="center"/>
          </w:tcPr>
          <w:p w14:paraId="1C7C21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1669" w:type="dxa"/>
            <w:vAlign w:val="center"/>
          </w:tcPr>
          <w:p w14:paraId="18ED0F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军事技能训练</w:t>
            </w:r>
          </w:p>
        </w:tc>
        <w:tc>
          <w:tcPr>
            <w:tcW w:w="459" w:type="dxa"/>
            <w:vAlign w:val="center"/>
          </w:tcPr>
          <w:p w14:paraId="344F51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769" w:type="dxa"/>
            <w:vAlign w:val="center"/>
          </w:tcPr>
          <w:p w14:paraId="7AD9903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694" w:type="dxa"/>
            <w:vAlign w:val="center"/>
          </w:tcPr>
          <w:p w14:paraId="1193DAB2">
            <w:pPr>
              <w:jc w:val="center"/>
              <w:rPr>
                <w:rFonts w:hint="eastAsia" w:ascii="宋体" w:hAnsi="宋体" w:eastAsia="宋体" w:cs="宋体"/>
                <w:color w:val="000000" w:themeColor="text1"/>
                <w:kern w:val="0"/>
                <w:sz w:val="18"/>
                <w:szCs w:val="18"/>
                <w14:textFill>
                  <w14:solidFill>
                    <w14:schemeClr w14:val="tx1"/>
                  </w14:solidFill>
                </w14:textFill>
              </w:rPr>
            </w:pPr>
          </w:p>
        </w:tc>
        <w:tc>
          <w:tcPr>
            <w:tcW w:w="637" w:type="dxa"/>
            <w:vAlign w:val="center"/>
          </w:tcPr>
          <w:p w14:paraId="5E6ED74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526" w:type="dxa"/>
            <w:vAlign w:val="center"/>
          </w:tcPr>
          <w:p w14:paraId="139587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9" w:type="dxa"/>
            <w:vAlign w:val="center"/>
          </w:tcPr>
          <w:p w14:paraId="2B21C4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w:t>
            </w:r>
          </w:p>
        </w:tc>
        <w:tc>
          <w:tcPr>
            <w:tcW w:w="539" w:type="dxa"/>
            <w:vAlign w:val="center"/>
          </w:tcPr>
          <w:p w14:paraId="722CFC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89165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1D1D64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44588B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25E925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4E6D8C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57" w:type="dxa"/>
            <w:vAlign w:val="center"/>
          </w:tcPr>
          <w:p w14:paraId="03FA83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E8E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0" w:type="dxa"/>
            <w:vMerge w:val="continue"/>
            <w:vAlign w:val="center"/>
          </w:tcPr>
          <w:p w14:paraId="40519F4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1B48BDF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1DF3E6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1003" w:type="dxa"/>
            <w:shd w:val="clear" w:color="auto" w:fill="auto"/>
            <w:vAlign w:val="center"/>
          </w:tcPr>
          <w:p w14:paraId="1B8FDF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1669" w:type="dxa"/>
            <w:shd w:val="clear" w:color="auto" w:fill="auto"/>
            <w:vAlign w:val="center"/>
          </w:tcPr>
          <w:p w14:paraId="7B44CF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459" w:type="dxa"/>
            <w:shd w:val="clear" w:color="auto" w:fill="auto"/>
            <w:vAlign w:val="center"/>
          </w:tcPr>
          <w:p w14:paraId="3DFCAE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3250F0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694" w:type="dxa"/>
            <w:shd w:val="clear" w:color="auto" w:fill="auto"/>
            <w:vAlign w:val="center"/>
          </w:tcPr>
          <w:p w14:paraId="6596BC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637" w:type="dxa"/>
            <w:shd w:val="clear" w:color="auto" w:fill="auto"/>
            <w:vAlign w:val="center"/>
          </w:tcPr>
          <w:p w14:paraId="49935B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26" w:type="dxa"/>
            <w:shd w:val="clear" w:color="auto" w:fill="auto"/>
            <w:vAlign w:val="center"/>
          </w:tcPr>
          <w:p w14:paraId="399EE1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013EE9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39" w:type="dxa"/>
            <w:vAlign w:val="center"/>
          </w:tcPr>
          <w:p w14:paraId="700AB9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6F9CBE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6C5638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3874D8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4BC339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4048C6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①</w:t>
            </w:r>
          </w:p>
        </w:tc>
        <w:tc>
          <w:tcPr>
            <w:tcW w:w="557" w:type="dxa"/>
            <w:vAlign w:val="center"/>
          </w:tcPr>
          <w:p w14:paraId="01D8119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CC1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0" w:type="dxa"/>
            <w:vMerge w:val="continue"/>
            <w:vAlign w:val="center"/>
          </w:tcPr>
          <w:p w14:paraId="3A20E36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5D4AFD9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06D0B91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1003" w:type="dxa"/>
            <w:shd w:val="clear" w:color="auto" w:fill="auto"/>
            <w:vAlign w:val="center"/>
          </w:tcPr>
          <w:p w14:paraId="3B425B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1669" w:type="dxa"/>
            <w:shd w:val="clear" w:color="auto" w:fill="auto"/>
            <w:vAlign w:val="center"/>
          </w:tcPr>
          <w:p w14:paraId="4C74CA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459" w:type="dxa"/>
            <w:shd w:val="clear" w:color="auto" w:fill="auto"/>
            <w:vAlign w:val="center"/>
          </w:tcPr>
          <w:p w14:paraId="4F84EA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051D33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94" w:type="dxa"/>
            <w:shd w:val="clear" w:color="auto" w:fill="auto"/>
            <w:vAlign w:val="center"/>
          </w:tcPr>
          <w:p w14:paraId="4D0C11B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37" w:type="dxa"/>
            <w:shd w:val="clear" w:color="auto" w:fill="auto"/>
            <w:vAlign w:val="center"/>
          </w:tcPr>
          <w:p w14:paraId="0BC719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26" w:type="dxa"/>
            <w:shd w:val="clear" w:color="auto" w:fill="auto"/>
            <w:vAlign w:val="center"/>
          </w:tcPr>
          <w:p w14:paraId="2068BB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39" w:type="dxa"/>
            <w:shd w:val="clear" w:color="auto" w:fill="auto"/>
            <w:vAlign w:val="center"/>
          </w:tcPr>
          <w:p w14:paraId="07592D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39" w:type="dxa"/>
            <w:shd w:val="clear" w:color="auto" w:fill="auto"/>
            <w:vAlign w:val="center"/>
          </w:tcPr>
          <w:p w14:paraId="055047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21AB6E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52FBFC5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6D7C40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20992E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5DC8809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557" w:type="dxa"/>
            <w:vAlign w:val="center"/>
          </w:tcPr>
          <w:p w14:paraId="03F8DA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ABA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70" w:type="dxa"/>
            <w:vMerge w:val="continue"/>
            <w:vAlign w:val="center"/>
          </w:tcPr>
          <w:p w14:paraId="75FCD5D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339BFEB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691225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1003" w:type="dxa"/>
            <w:shd w:val="clear" w:color="auto" w:fill="auto"/>
            <w:vAlign w:val="center"/>
          </w:tcPr>
          <w:p w14:paraId="457739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1669" w:type="dxa"/>
            <w:shd w:val="clear" w:color="auto" w:fill="auto"/>
            <w:vAlign w:val="center"/>
          </w:tcPr>
          <w:p w14:paraId="69D502E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459" w:type="dxa"/>
            <w:shd w:val="clear" w:color="auto" w:fill="auto"/>
            <w:vAlign w:val="center"/>
          </w:tcPr>
          <w:p w14:paraId="0F0E08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6450A8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94" w:type="dxa"/>
            <w:shd w:val="clear" w:color="auto" w:fill="auto"/>
            <w:vAlign w:val="center"/>
          </w:tcPr>
          <w:p w14:paraId="281816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637" w:type="dxa"/>
            <w:shd w:val="clear" w:color="auto" w:fill="auto"/>
            <w:vAlign w:val="center"/>
          </w:tcPr>
          <w:p w14:paraId="02C1D1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526" w:type="dxa"/>
            <w:shd w:val="clear" w:color="auto" w:fill="auto"/>
            <w:vAlign w:val="center"/>
          </w:tcPr>
          <w:p w14:paraId="6BE3CC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03043B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19016D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39" w:type="dxa"/>
            <w:shd w:val="clear" w:color="auto" w:fill="auto"/>
            <w:vAlign w:val="center"/>
          </w:tcPr>
          <w:p w14:paraId="6F0154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09EC76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8F7F8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551C23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3E76D34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557" w:type="dxa"/>
            <w:vAlign w:val="center"/>
          </w:tcPr>
          <w:p w14:paraId="633A72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648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0" w:type="dxa"/>
            <w:vMerge w:val="continue"/>
            <w:vAlign w:val="center"/>
          </w:tcPr>
          <w:p w14:paraId="5E715E8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778A884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3AEC18B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1003" w:type="dxa"/>
            <w:shd w:val="clear" w:color="auto" w:fill="auto"/>
            <w:vAlign w:val="center"/>
          </w:tcPr>
          <w:p w14:paraId="4DDBA1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000012G</w:t>
            </w:r>
          </w:p>
        </w:tc>
        <w:tc>
          <w:tcPr>
            <w:tcW w:w="1669" w:type="dxa"/>
            <w:shd w:val="clear" w:color="auto" w:fill="auto"/>
            <w:vAlign w:val="center"/>
          </w:tcPr>
          <w:p w14:paraId="081B0F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459" w:type="dxa"/>
            <w:shd w:val="clear" w:color="auto" w:fill="auto"/>
            <w:vAlign w:val="center"/>
          </w:tcPr>
          <w:p w14:paraId="5C5265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6FEAB5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694" w:type="dxa"/>
            <w:shd w:val="clear" w:color="auto" w:fill="auto"/>
            <w:vAlign w:val="center"/>
          </w:tcPr>
          <w:p w14:paraId="75C7C9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637" w:type="dxa"/>
            <w:shd w:val="clear" w:color="auto" w:fill="auto"/>
            <w:vAlign w:val="center"/>
          </w:tcPr>
          <w:p w14:paraId="301A7C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26" w:type="dxa"/>
            <w:shd w:val="clear" w:color="auto" w:fill="auto"/>
            <w:vAlign w:val="center"/>
          </w:tcPr>
          <w:p w14:paraId="38E09D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39" w:type="dxa"/>
            <w:shd w:val="clear" w:color="auto" w:fill="auto"/>
            <w:vAlign w:val="center"/>
          </w:tcPr>
          <w:p w14:paraId="28BBD8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5B734E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1F512C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39" w:type="dxa"/>
            <w:shd w:val="clear" w:color="auto" w:fill="auto"/>
            <w:vAlign w:val="center"/>
          </w:tcPr>
          <w:p w14:paraId="3B977C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4A667C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751E41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5BD4736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557" w:type="dxa"/>
            <w:vAlign w:val="center"/>
          </w:tcPr>
          <w:p w14:paraId="0B6EC39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6F3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 w:type="dxa"/>
            <w:vMerge w:val="continue"/>
            <w:vAlign w:val="center"/>
          </w:tcPr>
          <w:p w14:paraId="2FD122C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77AA640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757BCE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1003" w:type="dxa"/>
            <w:shd w:val="clear" w:color="auto" w:fill="auto"/>
            <w:vAlign w:val="center"/>
          </w:tcPr>
          <w:p w14:paraId="64B347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731880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000059G</w:t>
            </w:r>
          </w:p>
          <w:p w14:paraId="05E93C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000029G</w:t>
            </w:r>
          </w:p>
          <w:p w14:paraId="6CCE35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000039G</w:t>
            </w:r>
          </w:p>
        </w:tc>
        <w:tc>
          <w:tcPr>
            <w:tcW w:w="1669" w:type="dxa"/>
            <w:shd w:val="clear" w:color="auto" w:fill="auto"/>
            <w:vAlign w:val="center"/>
          </w:tcPr>
          <w:p w14:paraId="14EB17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459" w:type="dxa"/>
            <w:shd w:val="clear" w:color="auto" w:fill="auto"/>
            <w:vAlign w:val="center"/>
          </w:tcPr>
          <w:p w14:paraId="2DFB2A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39A7DE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694" w:type="dxa"/>
            <w:shd w:val="clear" w:color="auto" w:fill="auto"/>
            <w:vAlign w:val="center"/>
          </w:tcPr>
          <w:p w14:paraId="3BA483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637" w:type="dxa"/>
            <w:shd w:val="clear" w:color="auto" w:fill="auto"/>
            <w:vAlign w:val="center"/>
          </w:tcPr>
          <w:p w14:paraId="1B68B7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526" w:type="dxa"/>
            <w:shd w:val="clear" w:color="auto" w:fill="auto"/>
            <w:vAlign w:val="center"/>
          </w:tcPr>
          <w:p w14:paraId="3A97B0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6B8B41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39" w:type="dxa"/>
            <w:shd w:val="clear" w:color="auto" w:fill="auto"/>
            <w:vAlign w:val="center"/>
          </w:tcPr>
          <w:p w14:paraId="08C910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39" w:type="dxa"/>
            <w:shd w:val="clear" w:color="auto" w:fill="auto"/>
            <w:vAlign w:val="center"/>
          </w:tcPr>
          <w:p w14:paraId="047758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39" w:type="dxa"/>
            <w:shd w:val="clear" w:color="auto" w:fill="auto"/>
            <w:vAlign w:val="center"/>
          </w:tcPr>
          <w:p w14:paraId="1C0B02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39" w:type="dxa"/>
            <w:vAlign w:val="center"/>
          </w:tcPr>
          <w:p w14:paraId="30284E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047135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215062A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557" w:type="dxa"/>
            <w:vAlign w:val="center"/>
          </w:tcPr>
          <w:p w14:paraId="2DAA0F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9E3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0" w:type="dxa"/>
            <w:vMerge w:val="continue"/>
            <w:vAlign w:val="center"/>
          </w:tcPr>
          <w:p w14:paraId="0AFE241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30BBB49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6246CC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1003" w:type="dxa"/>
            <w:shd w:val="clear" w:color="auto" w:fill="auto"/>
            <w:vAlign w:val="center"/>
          </w:tcPr>
          <w:p w14:paraId="622A3A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000005G</w:t>
            </w:r>
          </w:p>
          <w:p w14:paraId="03E501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000015G</w:t>
            </w:r>
          </w:p>
        </w:tc>
        <w:tc>
          <w:tcPr>
            <w:tcW w:w="1669" w:type="dxa"/>
            <w:shd w:val="clear" w:color="auto" w:fill="auto"/>
            <w:vAlign w:val="center"/>
          </w:tcPr>
          <w:p w14:paraId="14D54C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459" w:type="dxa"/>
            <w:shd w:val="clear" w:color="auto" w:fill="auto"/>
            <w:vAlign w:val="center"/>
          </w:tcPr>
          <w:p w14:paraId="311170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769" w:type="dxa"/>
            <w:shd w:val="clear" w:color="auto" w:fill="auto"/>
            <w:vAlign w:val="center"/>
          </w:tcPr>
          <w:p w14:paraId="696E6D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94" w:type="dxa"/>
            <w:shd w:val="clear" w:color="auto" w:fill="auto"/>
            <w:vAlign w:val="center"/>
          </w:tcPr>
          <w:p w14:paraId="1CDDE4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637" w:type="dxa"/>
            <w:shd w:val="clear" w:color="auto" w:fill="auto"/>
            <w:vAlign w:val="center"/>
          </w:tcPr>
          <w:p w14:paraId="207246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6" w:type="dxa"/>
            <w:shd w:val="clear" w:color="auto" w:fill="auto"/>
            <w:vAlign w:val="center"/>
          </w:tcPr>
          <w:p w14:paraId="162D84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39" w:type="dxa"/>
            <w:shd w:val="clear" w:color="auto" w:fill="auto"/>
            <w:vAlign w:val="center"/>
          </w:tcPr>
          <w:p w14:paraId="386547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39" w:type="dxa"/>
            <w:shd w:val="clear" w:color="auto" w:fill="auto"/>
            <w:vAlign w:val="center"/>
          </w:tcPr>
          <w:p w14:paraId="4FD06D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39" w:type="dxa"/>
            <w:shd w:val="clear" w:color="auto" w:fill="auto"/>
            <w:vAlign w:val="center"/>
          </w:tcPr>
          <w:p w14:paraId="43129E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730C24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762E0B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4C7D15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4B2047F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④⑤</w:t>
            </w:r>
          </w:p>
        </w:tc>
        <w:tc>
          <w:tcPr>
            <w:tcW w:w="557" w:type="dxa"/>
            <w:vAlign w:val="center"/>
          </w:tcPr>
          <w:p w14:paraId="7C7B09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A50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70" w:type="dxa"/>
            <w:vMerge w:val="continue"/>
            <w:vAlign w:val="center"/>
          </w:tcPr>
          <w:p w14:paraId="10ABCAF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57353D5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6B8D64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1003" w:type="dxa"/>
            <w:shd w:val="clear" w:color="auto" w:fill="auto"/>
            <w:vAlign w:val="center"/>
          </w:tcPr>
          <w:p w14:paraId="1A149E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000006G</w:t>
            </w:r>
          </w:p>
        </w:tc>
        <w:tc>
          <w:tcPr>
            <w:tcW w:w="1669" w:type="dxa"/>
            <w:shd w:val="clear" w:color="auto" w:fill="auto"/>
            <w:vAlign w:val="center"/>
          </w:tcPr>
          <w:p w14:paraId="2EC8A7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高等数学</w:t>
            </w:r>
          </w:p>
        </w:tc>
        <w:tc>
          <w:tcPr>
            <w:tcW w:w="459" w:type="dxa"/>
            <w:shd w:val="clear" w:color="auto" w:fill="auto"/>
            <w:vAlign w:val="center"/>
          </w:tcPr>
          <w:p w14:paraId="362F92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769" w:type="dxa"/>
            <w:shd w:val="clear" w:color="auto" w:fill="auto"/>
            <w:vAlign w:val="center"/>
          </w:tcPr>
          <w:p w14:paraId="2D5FA1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94" w:type="dxa"/>
            <w:shd w:val="clear" w:color="auto" w:fill="auto"/>
            <w:vAlign w:val="center"/>
          </w:tcPr>
          <w:p w14:paraId="6D40C5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37" w:type="dxa"/>
            <w:shd w:val="clear" w:color="auto" w:fill="auto"/>
            <w:vAlign w:val="center"/>
          </w:tcPr>
          <w:p w14:paraId="280455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6" w:type="dxa"/>
            <w:shd w:val="clear" w:color="auto" w:fill="auto"/>
            <w:vAlign w:val="center"/>
          </w:tcPr>
          <w:p w14:paraId="62BDC4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539" w:type="dxa"/>
            <w:shd w:val="clear" w:color="auto" w:fill="auto"/>
            <w:vAlign w:val="center"/>
          </w:tcPr>
          <w:p w14:paraId="675778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39" w:type="dxa"/>
            <w:shd w:val="clear" w:color="auto" w:fill="auto"/>
            <w:vAlign w:val="center"/>
          </w:tcPr>
          <w:p w14:paraId="302769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5416B5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139782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241ED9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4D8DA0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48B9B61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rPr>
              <w:t>①</w:t>
            </w:r>
          </w:p>
        </w:tc>
        <w:tc>
          <w:tcPr>
            <w:tcW w:w="557" w:type="dxa"/>
            <w:vAlign w:val="center"/>
          </w:tcPr>
          <w:p w14:paraId="3BA8E7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9E8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70" w:type="dxa"/>
            <w:vMerge w:val="continue"/>
            <w:vAlign w:val="center"/>
          </w:tcPr>
          <w:p w14:paraId="73F5593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0BAF6F9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328518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1003" w:type="dxa"/>
            <w:shd w:val="clear" w:color="auto" w:fill="auto"/>
            <w:vAlign w:val="center"/>
          </w:tcPr>
          <w:p w14:paraId="46C5BC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1669" w:type="dxa"/>
            <w:shd w:val="clear" w:color="auto" w:fill="auto"/>
            <w:vAlign w:val="center"/>
          </w:tcPr>
          <w:p w14:paraId="1E6801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459" w:type="dxa"/>
            <w:shd w:val="clear" w:color="auto" w:fill="auto"/>
            <w:vAlign w:val="center"/>
          </w:tcPr>
          <w:p w14:paraId="45203F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769" w:type="dxa"/>
            <w:shd w:val="clear" w:color="auto" w:fill="auto"/>
            <w:vAlign w:val="center"/>
          </w:tcPr>
          <w:p w14:paraId="5B9CBA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94" w:type="dxa"/>
            <w:shd w:val="clear" w:color="auto" w:fill="auto"/>
            <w:vAlign w:val="center"/>
          </w:tcPr>
          <w:p w14:paraId="7D224A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7" w:type="dxa"/>
            <w:shd w:val="clear" w:color="auto" w:fill="auto"/>
            <w:vAlign w:val="center"/>
          </w:tcPr>
          <w:p w14:paraId="684B81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6" w:type="dxa"/>
            <w:shd w:val="clear" w:color="auto" w:fill="auto"/>
            <w:vAlign w:val="center"/>
          </w:tcPr>
          <w:p w14:paraId="1EEBA3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36053B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387869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39" w:type="dxa"/>
            <w:shd w:val="clear" w:color="auto" w:fill="auto"/>
            <w:vAlign w:val="center"/>
          </w:tcPr>
          <w:p w14:paraId="0D3A1A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174BE6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19AFAB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117CC3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76F5891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rPr>
              <w:t>⑤</w:t>
            </w:r>
          </w:p>
        </w:tc>
        <w:tc>
          <w:tcPr>
            <w:tcW w:w="557" w:type="dxa"/>
            <w:vAlign w:val="center"/>
          </w:tcPr>
          <w:p w14:paraId="401E30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A16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70" w:type="dxa"/>
            <w:vMerge w:val="continue"/>
            <w:vAlign w:val="center"/>
          </w:tcPr>
          <w:p w14:paraId="2D7A417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51BCCD0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55DD98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1003" w:type="dxa"/>
            <w:shd w:val="clear" w:color="auto" w:fill="auto"/>
            <w:vAlign w:val="center"/>
          </w:tcPr>
          <w:p w14:paraId="30F447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bookmarkStart w:id="27" w:name="OLE_LINK1"/>
            <w:r>
              <w:rPr>
                <w:rFonts w:hint="eastAsia" w:ascii="宋体" w:hAnsi="宋体" w:eastAsia="宋体" w:cs="宋体"/>
                <w:color w:val="000000" w:themeColor="text1"/>
                <w:kern w:val="0"/>
                <w:sz w:val="18"/>
                <w:szCs w:val="18"/>
                <w:lang w:val="en-US" w:eastAsia="zh-CN"/>
                <w14:textFill>
                  <w14:solidFill>
                    <w14:schemeClr w14:val="tx1"/>
                  </w14:solidFill>
                </w14:textFill>
              </w:rPr>
              <w:t>000007G</w:t>
            </w:r>
            <w:bookmarkEnd w:id="27"/>
          </w:p>
          <w:p w14:paraId="6673A5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000017G</w:t>
            </w:r>
          </w:p>
          <w:p w14:paraId="3892A77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000027G</w:t>
            </w:r>
          </w:p>
        </w:tc>
        <w:tc>
          <w:tcPr>
            <w:tcW w:w="1669" w:type="dxa"/>
            <w:shd w:val="clear" w:color="auto" w:fill="auto"/>
            <w:vAlign w:val="center"/>
          </w:tcPr>
          <w:p w14:paraId="096AE0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459" w:type="dxa"/>
            <w:shd w:val="clear" w:color="auto" w:fill="auto"/>
            <w:vAlign w:val="center"/>
          </w:tcPr>
          <w:p w14:paraId="7E7196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769" w:type="dxa"/>
            <w:shd w:val="clear" w:color="auto" w:fill="auto"/>
            <w:vAlign w:val="center"/>
          </w:tcPr>
          <w:p w14:paraId="4F90A0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694" w:type="dxa"/>
            <w:shd w:val="clear" w:color="auto" w:fill="auto"/>
            <w:vAlign w:val="center"/>
          </w:tcPr>
          <w:p w14:paraId="7DF041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637" w:type="dxa"/>
            <w:shd w:val="clear" w:color="auto" w:fill="auto"/>
            <w:vAlign w:val="center"/>
          </w:tcPr>
          <w:p w14:paraId="1D9C74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526" w:type="dxa"/>
            <w:shd w:val="clear" w:color="auto" w:fill="auto"/>
            <w:vAlign w:val="center"/>
          </w:tcPr>
          <w:p w14:paraId="15357B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39" w:type="dxa"/>
            <w:shd w:val="clear" w:color="auto" w:fill="auto"/>
            <w:vAlign w:val="center"/>
          </w:tcPr>
          <w:p w14:paraId="1CC2CE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39" w:type="dxa"/>
            <w:shd w:val="clear" w:color="auto" w:fill="auto"/>
            <w:vAlign w:val="center"/>
          </w:tcPr>
          <w:p w14:paraId="7393F6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39" w:type="dxa"/>
            <w:shd w:val="clear" w:color="auto" w:fill="auto"/>
            <w:vAlign w:val="center"/>
          </w:tcPr>
          <w:p w14:paraId="25E2E0F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39" w:type="dxa"/>
            <w:shd w:val="clear" w:color="auto" w:fill="auto"/>
            <w:vAlign w:val="center"/>
          </w:tcPr>
          <w:p w14:paraId="02BA8D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B87C2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3170377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06CD6F0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③</w:t>
            </w:r>
          </w:p>
        </w:tc>
        <w:tc>
          <w:tcPr>
            <w:tcW w:w="557" w:type="dxa"/>
            <w:vAlign w:val="center"/>
          </w:tcPr>
          <w:p w14:paraId="7C8320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C04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70" w:type="dxa"/>
            <w:vMerge w:val="continue"/>
            <w:vAlign w:val="center"/>
          </w:tcPr>
          <w:p w14:paraId="2DA4BB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44FEC19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1F8730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1003" w:type="dxa"/>
            <w:shd w:val="clear" w:color="auto" w:fill="auto"/>
            <w:vAlign w:val="center"/>
          </w:tcPr>
          <w:p w14:paraId="0B4D42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1669" w:type="dxa"/>
            <w:shd w:val="clear" w:color="auto" w:fill="auto"/>
            <w:vAlign w:val="center"/>
          </w:tcPr>
          <w:p w14:paraId="6C9C6D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459" w:type="dxa"/>
            <w:shd w:val="clear" w:color="auto" w:fill="auto"/>
            <w:vAlign w:val="center"/>
          </w:tcPr>
          <w:p w14:paraId="5816FC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7DBDDD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6C1902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vAlign w:val="center"/>
          </w:tcPr>
          <w:p w14:paraId="63F69D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097B5F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7D615B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F1990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32</w:t>
            </w:r>
          </w:p>
        </w:tc>
        <w:tc>
          <w:tcPr>
            <w:tcW w:w="539" w:type="dxa"/>
            <w:shd w:val="clear" w:color="auto" w:fill="auto"/>
            <w:vAlign w:val="center"/>
          </w:tcPr>
          <w:p w14:paraId="234043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2097D5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68DE7A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4211DD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shd w:val="clear" w:color="auto" w:fill="auto"/>
            <w:vAlign w:val="center"/>
          </w:tcPr>
          <w:p w14:paraId="10C217E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sz w:val="18"/>
                <w:szCs w:val="18"/>
                <w:highlight w:val="none"/>
              </w:rPr>
              <w:t>⑤</w:t>
            </w:r>
          </w:p>
        </w:tc>
        <w:tc>
          <w:tcPr>
            <w:tcW w:w="557" w:type="dxa"/>
            <w:vAlign w:val="center"/>
          </w:tcPr>
          <w:p w14:paraId="504549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B81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 w:type="dxa"/>
            <w:vMerge w:val="continue"/>
            <w:vAlign w:val="center"/>
          </w:tcPr>
          <w:p w14:paraId="2681E67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01BF015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153C82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1003" w:type="dxa"/>
            <w:shd w:val="clear" w:color="auto" w:fill="auto"/>
            <w:vAlign w:val="center"/>
          </w:tcPr>
          <w:p w14:paraId="3B8A45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1669" w:type="dxa"/>
            <w:shd w:val="clear" w:color="auto" w:fill="auto"/>
            <w:vAlign w:val="center"/>
          </w:tcPr>
          <w:p w14:paraId="17A370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459" w:type="dxa"/>
            <w:shd w:val="clear" w:color="auto" w:fill="auto"/>
            <w:vAlign w:val="center"/>
          </w:tcPr>
          <w:p w14:paraId="28B581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295D4E9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54B1663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24</w:t>
            </w:r>
          </w:p>
        </w:tc>
        <w:tc>
          <w:tcPr>
            <w:tcW w:w="637" w:type="dxa"/>
            <w:shd w:val="clear" w:color="auto" w:fill="auto"/>
            <w:vAlign w:val="center"/>
          </w:tcPr>
          <w:p w14:paraId="623E10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8</w:t>
            </w:r>
          </w:p>
        </w:tc>
        <w:tc>
          <w:tcPr>
            <w:tcW w:w="526" w:type="dxa"/>
            <w:shd w:val="clear" w:color="auto" w:fill="auto"/>
            <w:vAlign w:val="center"/>
          </w:tcPr>
          <w:p w14:paraId="37AA30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2D3F703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39" w:type="dxa"/>
            <w:shd w:val="clear" w:color="auto" w:fill="auto"/>
            <w:vAlign w:val="center"/>
          </w:tcPr>
          <w:p w14:paraId="0182BE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4483AA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3E239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4CA0D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7D927D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1A2448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⑩</w:t>
            </w:r>
          </w:p>
        </w:tc>
        <w:tc>
          <w:tcPr>
            <w:tcW w:w="557" w:type="dxa"/>
            <w:vAlign w:val="center"/>
          </w:tcPr>
          <w:p w14:paraId="734C52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44D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0" w:type="dxa"/>
            <w:vMerge w:val="continue"/>
            <w:vAlign w:val="center"/>
          </w:tcPr>
          <w:p w14:paraId="79A834E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0DD101D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713BE6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1003" w:type="dxa"/>
            <w:shd w:val="clear" w:color="auto" w:fill="auto"/>
            <w:vAlign w:val="center"/>
          </w:tcPr>
          <w:p w14:paraId="402513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1669" w:type="dxa"/>
            <w:shd w:val="clear" w:color="auto" w:fill="auto"/>
            <w:vAlign w:val="center"/>
          </w:tcPr>
          <w:p w14:paraId="2C9ED9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459" w:type="dxa"/>
            <w:shd w:val="clear" w:color="auto" w:fill="auto"/>
            <w:vAlign w:val="center"/>
          </w:tcPr>
          <w:p w14:paraId="5E7762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42B05B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94" w:type="dxa"/>
            <w:shd w:val="clear" w:color="auto" w:fill="auto"/>
            <w:vAlign w:val="center"/>
          </w:tcPr>
          <w:p w14:paraId="20C3B0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vAlign w:val="center"/>
          </w:tcPr>
          <w:p w14:paraId="461E97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2AFF2A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39" w:type="dxa"/>
            <w:shd w:val="clear" w:color="auto" w:fill="auto"/>
            <w:vAlign w:val="center"/>
          </w:tcPr>
          <w:p w14:paraId="02AB21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3E40C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01804E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39" w:type="dxa"/>
            <w:shd w:val="clear" w:color="auto" w:fill="auto"/>
            <w:vAlign w:val="center"/>
          </w:tcPr>
          <w:p w14:paraId="2F0298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0E990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01A798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0AB127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highlight w:val="none"/>
              </w:rPr>
              <w:t>⑩</w:t>
            </w:r>
          </w:p>
        </w:tc>
        <w:tc>
          <w:tcPr>
            <w:tcW w:w="557" w:type="dxa"/>
            <w:vAlign w:val="center"/>
          </w:tcPr>
          <w:p w14:paraId="3F42D0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40C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0" w:type="dxa"/>
            <w:vMerge w:val="continue"/>
            <w:vAlign w:val="center"/>
          </w:tcPr>
          <w:p w14:paraId="5DCB18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3AA0991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269DA3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1003" w:type="dxa"/>
            <w:shd w:val="clear" w:color="auto" w:fill="auto"/>
            <w:vAlign w:val="center"/>
          </w:tcPr>
          <w:p w14:paraId="4D4EC7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1669" w:type="dxa"/>
            <w:shd w:val="clear" w:color="auto" w:fill="auto"/>
            <w:vAlign w:val="center"/>
          </w:tcPr>
          <w:p w14:paraId="681B6E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459" w:type="dxa"/>
            <w:shd w:val="clear" w:color="auto" w:fill="auto"/>
            <w:vAlign w:val="center"/>
          </w:tcPr>
          <w:p w14:paraId="2E8F0A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shd w:val="clear" w:color="auto" w:fill="auto"/>
            <w:vAlign w:val="center"/>
          </w:tcPr>
          <w:p w14:paraId="71EB46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694" w:type="dxa"/>
            <w:shd w:val="clear" w:color="auto" w:fill="auto"/>
            <w:vAlign w:val="center"/>
          </w:tcPr>
          <w:p w14:paraId="7CED9C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37" w:type="dxa"/>
            <w:shd w:val="clear" w:color="auto" w:fill="auto"/>
            <w:vAlign w:val="center"/>
          </w:tcPr>
          <w:p w14:paraId="44D7FA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26" w:type="dxa"/>
            <w:shd w:val="clear" w:color="auto" w:fill="auto"/>
            <w:vAlign w:val="center"/>
          </w:tcPr>
          <w:p w14:paraId="218E86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539" w:type="dxa"/>
            <w:shd w:val="clear" w:color="auto" w:fill="auto"/>
            <w:vAlign w:val="center"/>
          </w:tcPr>
          <w:p w14:paraId="130338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39" w:type="dxa"/>
            <w:shd w:val="clear" w:color="auto" w:fill="auto"/>
            <w:vAlign w:val="center"/>
          </w:tcPr>
          <w:p w14:paraId="2716A1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7A1A29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7EFBE0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01F324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6D6BAE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33EC9C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highlight w:val="none"/>
              </w:rPr>
              <w:t>⑩</w:t>
            </w:r>
          </w:p>
        </w:tc>
        <w:tc>
          <w:tcPr>
            <w:tcW w:w="557" w:type="dxa"/>
            <w:vAlign w:val="center"/>
          </w:tcPr>
          <w:p w14:paraId="03D09A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6D9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0" w:type="dxa"/>
            <w:vMerge w:val="continue"/>
            <w:vAlign w:val="center"/>
          </w:tcPr>
          <w:p w14:paraId="65B1E68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6368024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67226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1003" w:type="dxa"/>
            <w:vAlign w:val="center"/>
          </w:tcPr>
          <w:p w14:paraId="40E620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010126Z</w:t>
            </w:r>
          </w:p>
        </w:tc>
        <w:tc>
          <w:tcPr>
            <w:tcW w:w="1669" w:type="dxa"/>
            <w:shd w:val="clear" w:color="auto" w:fill="auto"/>
            <w:vAlign w:val="center"/>
          </w:tcPr>
          <w:p w14:paraId="50D1B4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459" w:type="dxa"/>
            <w:shd w:val="clear" w:color="auto" w:fill="auto"/>
            <w:vAlign w:val="center"/>
          </w:tcPr>
          <w:p w14:paraId="3A9968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792932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94" w:type="dxa"/>
            <w:shd w:val="clear" w:color="auto" w:fill="auto"/>
            <w:vAlign w:val="center"/>
          </w:tcPr>
          <w:p w14:paraId="5EA438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37" w:type="dxa"/>
            <w:shd w:val="clear" w:color="auto" w:fill="auto"/>
            <w:vAlign w:val="center"/>
          </w:tcPr>
          <w:p w14:paraId="64C360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26" w:type="dxa"/>
            <w:shd w:val="clear" w:color="auto" w:fill="auto"/>
            <w:vAlign w:val="center"/>
          </w:tcPr>
          <w:p w14:paraId="509B78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578983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371120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539" w:type="dxa"/>
            <w:vAlign w:val="center"/>
          </w:tcPr>
          <w:p w14:paraId="1511A1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752606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BEA47F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3BADBB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4C14A05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highlight w:val="none"/>
              </w:rPr>
              <w:t>⑩</w:t>
            </w:r>
          </w:p>
        </w:tc>
        <w:tc>
          <w:tcPr>
            <w:tcW w:w="557" w:type="dxa"/>
            <w:vAlign w:val="center"/>
          </w:tcPr>
          <w:p w14:paraId="032C69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458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0" w:type="dxa"/>
            <w:vMerge w:val="continue"/>
            <w:vAlign w:val="center"/>
          </w:tcPr>
          <w:p w14:paraId="760CC07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6CD0C5E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534E6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1003" w:type="dxa"/>
            <w:vAlign w:val="center"/>
          </w:tcPr>
          <w:p w14:paraId="172D24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1669" w:type="dxa"/>
            <w:vAlign w:val="center"/>
          </w:tcPr>
          <w:p w14:paraId="1A2A14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459" w:type="dxa"/>
            <w:vAlign w:val="center"/>
          </w:tcPr>
          <w:p w14:paraId="2CD21E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1D471C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694" w:type="dxa"/>
            <w:vAlign w:val="center"/>
          </w:tcPr>
          <w:p w14:paraId="17F91D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37" w:type="dxa"/>
            <w:vAlign w:val="center"/>
          </w:tcPr>
          <w:p w14:paraId="0834C2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26" w:type="dxa"/>
            <w:vAlign w:val="center"/>
          </w:tcPr>
          <w:p w14:paraId="378B36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39" w:type="dxa"/>
            <w:vAlign w:val="center"/>
          </w:tcPr>
          <w:p w14:paraId="5FCECC3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39" w:type="dxa"/>
            <w:vAlign w:val="center"/>
          </w:tcPr>
          <w:p w14:paraId="591E37D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539" w:type="dxa"/>
            <w:vAlign w:val="center"/>
          </w:tcPr>
          <w:p w14:paraId="793902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0C6987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0CC564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4B6A49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494DA7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rPr>
              <w:t>⑥⑧</w:t>
            </w:r>
          </w:p>
        </w:tc>
        <w:tc>
          <w:tcPr>
            <w:tcW w:w="557" w:type="dxa"/>
            <w:vAlign w:val="center"/>
          </w:tcPr>
          <w:p w14:paraId="673B81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FD8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0" w:type="dxa"/>
            <w:vMerge w:val="continue"/>
            <w:vAlign w:val="center"/>
          </w:tcPr>
          <w:p w14:paraId="79A7A5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17AE178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58BD4C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1003" w:type="dxa"/>
            <w:vAlign w:val="center"/>
          </w:tcPr>
          <w:p w14:paraId="6FE59B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1669" w:type="dxa"/>
            <w:vAlign w:val="center"/>
          </w:tcPr>
          <w:p w14:paraId="4A85152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459" w:type="dxa"/>
            <w:vAlign w:val="center"/>
          </w:tcPr>
          <w:p w14:paraId="5352FC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769" w:type="dxa"/>
            <w:vAlign w:val="center"/>
          </w:tcPr>
          <w:p w14:paraId="7BD6B9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94" w:type="dxa"/>
            <w:vAlign w:val="center"/>
          </w:tcPr>
          <w:p w14:paraId="6B48C0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637" w:type="dxa"/>
            <w:vAlign w:val="center"/>
          </w:tcPr>
          <w:p w14:paraId="35A087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6" w:type="dxa"/>
            <w:vAlign w:val="center"/>
          </w:tcPr>
          <w:p w14:paraId="0710F3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539" w:type="dxa"/>
            <w:vAlign w:val="center"/>
          </w:tcPr>
          <w:p w14:paraId="3B22E7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39" w:type="dxa"/>
            <w:vAlign w:val="center"/>
          </w:tcPr>
          <w:p w14:paraId="572415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7FDD22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14512B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5938D3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421CAC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6BFA70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②</w:t>
            </w:r>
          </w:p>
        </w:tc>
        <w:tc>
          <w:tcPr>
            <w:tcW w:w="557" w:type="dxa"/>
            <w:vAlign w:val="center"/>
          </w:tcPr>
          <w:p w14:paraId="09B725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49F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0" w:type="dxa"/>
            <w:vMerge w:val="continue"/>
            <w:vAlign w:val="center"/>
          </w:tcPr>
          <w:p w14:paraId="37E3998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4D23E7B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53" w:type="dxa"/>
            <w:gridSpan w:val="2"/>
            <w:vAlign w:val="center"/>
          </w:tcPr>
          <w:p w14:paraId="09E7C2C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1669" w:type="dxa"/>
            <w:vAlign w:val="center"/>
          </w:tcPr>
          <w:p w14:paraId="785FAA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459" w:type="dxa"/>
            <w:vAlign w:val="center"/>
          </w:tcPr>
          <w:p w14:paraId="4285D9A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769" w:type="dxa"/>
            <w:vAlign w:val="center"/>
          </w:tcPr>
          <w:p w14:paraId="2EE76A8F">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694" w:type="dxa"/>
            <w:vAlign w:val="center"/>
          </w:tcPr>
          <w:p w14:paraId="46976A60">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53</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8</w:t>
            </w:r>
          </w:p>
        </w:tc>
        <w:tc>
          <w:tcPr>
            <w:tcW w:w="637" w:type="dxa"/>
            <w:vAlign w:val="center"/>
          </w:tcPr>
          <w:p w14:paraId="495E0086">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w:t>
            </w:r>
          </w:p>
        </w:tc>
        <w:tc>
          <w:tcPr>
            <w:tcW w:w="526" w:type="dxa"/>
            <w:vAlign w:val="center"/>
          </w:tcPr>
          <w:p w14:paraId="0326CF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w:t>
            </w:r>
          </w:p>
        </w:tc>
        <w:tc>
          <w:tcPr>
            <w:tcW w:w="539" w:type="dxa"/>
            <w:vAlign w:val="center"/>
          </w:tcPr>
          <w:p w14:paraId="1BB287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539" w:type="dxa"/>
            <w:vAlign w:val="center"/>
          </w:tcPr>
          <w:p w14:paraId="012B5F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252</w:t>
            </w:r>
          </w:p>
        </w:tc>
        <w:tc>
          <w:tcPr>
            <w:tcW w:w="539" w:type="dxa"/>
            <w:vAlign w:val="center"/>
          </w:tcPr>
          <w:p w14:paraId="4D4AFD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108</w:t>
            </w:r>
          </w:p>
        </w:tc>
        <w:tc>
          <w:tcPr>
            <w:tcW w:w="539" w:type="dxa"/>
            <w:vAlign w:val="center"/>
          </w:tcPr>
          <w:p w14:paraId="5D0E0A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539" w:type="dxa"/>
            <w:vAlign w:val="center"/>
          </w:tcPr>
          <w:p w14:paraId="493347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14:textFill>
                  <w14:solidFill>
                    <w14:schemeClr w14:val="tx1"/>
                  </w14:solidFill>
                </w14:textFill>
              </w:rPr>
            </w:pPr>
          </w:p>
        </w:tc>
        <w:tc>
          <w:tcPr>
            <w:tcW w:w="614" w:type="dxa"/>
            <w:vAlign w:val="center"/>
          </w:tcPr>
          <w:p w14:paraId="33ACAB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14:textFill>
                  <w14:solidFill>
                    <w14:schemeClr w14:val="tx1"/>
                  </w14:solidFill>
                </w14:textFill>
              </w:rPr>
            </w:pPr>
          </w:p>
        </w:tc>
        <w:tc>
          <w:tcPr>
            <w:tcW w:w="606" w:type="dxa"/>
            <w:vAlign w:val="center"/>
          </w:tcPr>
          <w:p w14:paraId="734E558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557" w:type="dxa"/>
            <w:vAlign w:val="center"/>
          </w:tcPr>
          <w:p w14:paraId="7BA690E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399B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 w:type="dxa"/>
            <w:vMerge w:val="restart"/>
            <w:vAlign w:val="center"/>
          </w:tcPr>
          <w:p w14:paraId="473872E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选修课</w:t>
            </w:r>
          </w:p>
        </w:tc>
        <w:tc>
          <w:tcPr>
            <w:tcW w:w="340" w:type="dxa"/>
            <w:vMerge w:val="restart"/>
            <w:vAlign w:val="center"/>
          </w:tcPr>
          <w:p w14:paraId="758748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限选课</w:t>
            </w:r>
          </w:p>
        </w:tc>
        <w:tc>
          <w:tcPr>
            <w:tcW w:w="450" w:type="dxa"/>
            <w:vAlign w:val="center"/>
          </w:tcPr>
          <w:p w14:paraId="716A4F1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03" w:type="dxa"/>
            <w:vAlign w:val="center"/>
          </w:tcPr>
          <w:p w14:paraId="1BD9A1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w:t>
            </w:r>
          </w:p>
        </w:tc>
        <w:tc>
          <w:tcPr>
            <w:tcW w:w="1669" w:type="dxa"/>
            <w:vMerge w:val="restart"/>
            <w:vAlign w:val="center"/>
          </w:tcPr>
          <w:p w14:paraId="6E3909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公共选修课清单表中艺术类课程8门课程限选2门，具体开设学期及课程以实际执行为准</w:t>
            </w:r>
          </w:p>
        </w:tc>
        <w:tc>
          <w:tcPr>
            <w:tcW w:w="459" w:type="dxa"/>
            <w:vAlign w:val="center"/>
          </w:tcPr>
          <w:p w14:paraId="5DC39B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769" w:type="dxa"/>
            <w:vAlign w:val="center"/>
          </w:tcPr>
          <w:p w14:paraId="4B286D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694" w:type="dxa"/>
            <w:vAlign w:val="center"/>
          </w:tcPr>
          <w:p w14:paraId="496A0E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637" w:type="dxa"/>
            <w:vAlign w:val="center"/>
          </w:tcPr>
          <w:p w14:paraId="06F694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26" w:type="dxa"/>
            <w:vAlign w:val="center"/>
          </w:tcPr>
          <w:p w14:paraId="4A25BB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39" w:type="dxa"/>
            <w:vAlign w:val="center"/>
          </w:tcPr>
          <w:p w14:paraId="30ADB6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539" w:type="dxa"/>
            <w:vAlign w:val="center"/>
          </w:tcPr>
          <w:p w14:paraId="4547BBF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539" w:type="dxa"/>
            <w:vAlign w:val="center"/>
          </w:tcPr>
          <w:p w14:paraId="7BEDC33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27F76CB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773EA48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14" w:type="dxa"/>
            <w:vAlign w:val="center"/>
          </w:tcPr>
          <w:p w14:paraId="62C3D69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06" w:type="dxa"/>
            <w:vAlign w:val="center"/>
          </w:tcPr>
          <w:p w14:paraId="0DC4E43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③⑤</w:t>
            </w:r>
          </w:p>
        </w:tc>
        <w:tc>
          <w:tcPr>
            <w:tcW w:w="557" w:type="dxa"/>
            <w:vAlign w:val="center"/>
          </w:tcPr>
          <w:p w14:paraId="08B0082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3038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70" w:type="dxa"/>
            <w:vMerge w:val="continue"/>
            <w:vAlign w:val="center"/>
          </w:tcPr>
          <w:p w14:paraId="5F32BEE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5A4FBEE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2426CE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03" w:type="dxa"/>
            <w:vAlign w:val="center"/>
          </w:tcPr>
          <w:p w14:paraId="1978CA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w:t>
            </w:r>
          </w:p>
        </w:tc>
        <w:tc>
          <w:tcPr>
            <w:tcW w:w="1669" w:type="dxa"/>
            <w:vMerge w:val="continue"/>
            <w:vAlign w:val="center"/>
          </w:tcPr>
          <w:p w14:paraId="7A94E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olor w:val="000000" w:themeColor="text1"/>
                <w:kern w:val="0"/>
                <w:sz w:val="18"/>
                <w:szCs w:val="18"/>
                <w14:textFill>
                  <w14:solidFill>
                    <w14:schemeClr w14:val="tx1"/>
                  </w14:solidFill>
                </w14:textFill>
              </w:rPr>
            </w:pPr>
          </w:p>
        </w:tc>
        <w:tc>
          <w:tcPr>
            <w:tcW w:w="459" w:type="dxa"/>
            <w:vAlign w:val="center"/>
          </w:tcPr>
          <w:p w14:paraId="701C329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769" w:type="dxa"/>
            <w:vAlign w:val="center"/>
          </w:tcPr>
          <w:p w14:paraId="693A720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694" w:type="dxa"/>
            <w:vAlign w:val="center"/>
          </w:tcPr>
          <w:p w14:paraId="070B428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637" w:type="dxa"/>
            <w:vAlign w:val="center"/>
          </w:tcPr>
          <w:p w14:paraId="06C239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26" w:type="dxa"/>
            <w:vAlign w:val="center"/>
          </w:tcPr>
          <w:p w14:paraId="7ED549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539" w:type="dxa"/>
            <w:vAlign w:val="center"/>
          </w:tcPr>
          <w:p w14:paraId="56643C35">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i w:val="0"/>
                <w:iCs w:val="0"/>
                <w:color w:val="000000"/>
                <w:kern w:val="0"/>
                <w:sz w:val="18"/>
                <w:szCs w:val="18"/>
                <w:u w:val="none"/>
                <w:lang w:val="en-US" w:eastAsia="zh-CN" w:bidi="ar"/>
              </w:rPr>
            </w:pPr>
          </w:p>
        </w:tc>
        <w:tc>
          <w:tcPr>
            <w:tcW w:w="539" w:type="dxa"/>
            <w:vAlign w:val="center"/>
          </w:tcPr>
          <w:p w14:paraId="77C2C7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39" w:type="dxa"/>
            <w:vAlign w:val="center"/>
          </w:tcPr>
          <w:p w14:paraId="160962C9">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377C700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3F97E40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14" w:type="dxa"/>
            <w:vAlign w:val="center"/>
          </w:tcPr>
          <w:p w14:paraId="20A5CCE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06" w:type="dxa"/>
            <w:vAlign w:val="center"/>
          </w:tcPr>
          <w:p w14:paraId="3250777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③⑤</w:t>
            </w:r>
          </w:p>
        </w:tc>
        <w:tc>
          <w:tcPr>
            <w:tcW w:w="557" w:type="dxa"/>
            <w:vAlign w:val="center"/>
          </w:tcPr>
          <w:p w14:paraId="6406A95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0E08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1805C2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restart"/>
            <w:vAlign w:val="center"/>
          </w:tcPr>
          <w:p w14:paraId="490392F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任选课</w:t>
            </w:r>
          </w:p>
        </w:tc>
        <w:tc>
          <w:tcPr>
            <w:tcW w:w="450" w:type="dxa"/>
            <w:vAlign w:val="center"/>
          </w:tcPr>
          <w:p w14:paraId="16A0E8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03" w:type="dxa"/>
            <w:vAlign w:val="center"/>
          </w:tcPr>
          <w:p w14:paraId="4D46DE0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w:t>
            </w:r>
          </w:p>
        </w:tc>
        <w:tc>
          <w:tcPr>
            <w:tcW w:w="1669" w:type="dxa"/>
            <w:vMerge w:val="restart"/>
            <w:vAlign w:val="center"/>
          </w:tcPr>
          <w:p w14:paraId="27E5B1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color w:val="auto"/>
                <w:kern w:val="0"/>
                <w:sz w:val="18"/>
                <w:szCs w:val="18"/>
                <w:highlight w:val="none"/>
              </w:rPr>
            </w:pPr>
            <w:r>
              <w:rPr>
                <w:rFonts w:hint="eastAsia" w:ascii="宋体" w:hAnsi="宋体" w:eastAsia="宋体" w:cs="宋体"/>
                <w:color w:val="auto"/>
                <w:kern w:val="0"/>
                <w:sz w:val="18"/>
                <w:szCs w:val="18"/>
                <w:highlight w:val="none"/>
                <w:lang w:val="en-US" w:eastAsia="zh-CN" w:bidi="ar"/>
              </w:rPr>
              <w:t>公共选修课清单表中的课程任选2门</w:t>
            </w:r>
          </w:p>
        </w:tc>
        <w:tc>
          <w:tcPr>
            <w:tcW w:w="459" w:type="dxa"/>
            <w:vAlign w:val="center"/>
          </w:tcPr>
          <w:p w14:paraId="3385847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bidi="ar"/>
              </w:rPr>
              <w:t>B</w:t>
            </w:r>
          </w:p>
        </w:tc>
        <w:tc>
          <w:tcPr>
            <w:tcW w:w="769" w:type="dxa"/>
            <w:vAlign w:val="center"/>
          </w:tcPr>
          <w:p w14:paraId="1DBAB010">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32</w:t>
            </w:r>
          </w:p>
        </w:tc>
        <w:tc>
          <w:tcPr>
            <w:tcW w:w="694" w:type="dxa"/>
            <w:vAlign w:val="center"/>
          </w:tcPr>
          <w:p w14:paraId="22660E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637" w:type="dxa"/>
            <w:vAlign w:val="center"/>
          </w:tcPr>
          <w:p w14:paraId="59ECA7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26" w:type="dxa"/>
            <w:vAlign w:val="center"/>
          </w:tcPr>
          <w:p w14:paraId="654E9C10">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539" w:type="dxa"/>
            <w:vAlign w:val="center"/>
          </w:tcPr>
          <w:p w14:paraId="44D8FAD8">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Cs/>
                <w:color w:val="auto"/>
                <w:kern w:val="0"/>
                <w:sz w:val="18"/>
                <w:szCs w:val="18"/>
                <w:highlight w:val="none"/>
                <w:lang w:val="en-US" w:eastAsia="zh-CN" w:bidi="ar-SA"/>
              </w:rPr>
              <w:t>32</w:t>
            </w:r>
          </w:p>
        </w:tc>
        <w:tc>
          <w:tcPr>
            <w:tcW w:w="539" w:type="dxa"/>
            <w:vAlign w:val="center"/>
          </w:tcPr>
          <w:p w14:paraId="78B70348">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39" w:type="dxa"/>
            <w:vAlign w:val="center"/>
          </w:tcPr>
          <w:p w14:paraId="119A8A3C">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0"/>
                <w:sz w:val="18"/>
                <w:szCs w:val="18"/>
                <w:highlight w:val="none"/>
                <w:lang w:val="en-US" w:eastAsia="zh-CN"/>
              </w:rPr>
            </w:pPr>
          </w:p>
        </w:tc>
        <w:tc>
          <w:tcPr>
            <w:tcW w:w="539" w:type="dxa"/>
            <w:vAlign w:val="center"/>
          </w:tcPr>
          <w:p w14:paraId="30F07F28">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0"/>
                <w:sz w:val="18"/>
                <w:szCs w:val="18"/>
                <w:highlight w:val="none"/>
                <w:lang w:val="en-US" w:eastAsia="zh-CN"/>
              </w:rPr>
            </w:pPr>
          </w:p>
        </w:tc>
        <w:tc>
          <w:tcPr>
            <w:tcW w:w="539" w:type="dxa"/>
            <w:vAlign w:val="center"/>
          </w:tcPr>
          <w:p w14:paraId="73BD7C4B">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0"/>
                <w:sz w:val="18"/>
                <w:szCs w:val="18"/>
                <w:highlight w:val="none"/>
                <w:lang w:val="en-US" w:eastAsia="zh-CN"/>
              </w:rPr>
            </w:pPr>
          </w:p>
        </w:tc>
        <w:tc>
          <w:tcPr>
            <w:tcW w:w="614" w:type="dxa"/>
            <w:vAlign w:val="center"/>
          </w:tcPr>
          <w:p w14:paraId="743F2B1F">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0"/>
                <w:sz w:val="18"/>
                <w:szCs w:val="18"/>
                <w:highlight w:val="none"/>
                <w:lang w:val="en-US" w:eastAsia="zh-CN"/>
              </w:rPr>
            </w:pPr>
          </w:p>
        </w:tc>
        <w:tc>
          <w:tcPr>
            <w:tcW w:w="606" w:type="dxa"/>
            <w:vAlign w:val="center"/>
          </w:tcPr>
          <w:p w14:paraId="7410BCB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color w:val="auto"/>
                <w:kern w:val="0"/>
                <w:sz w:val="18"/>
                <w:szCs w:val="18"/>
                <w:highlight w:val="none"/>
                <w:lang w:bidi="ar"/>
              </w:rPr>
              <w:t>③⑤</w:t>
            </w:r>
          </w:p>
        </w:tc>
        <w:tc>
          <w:tcPr>
            <w:tcW w:w="557" w:type="dxa"/>
            <w:vAlign w:val="center"/>
          </w:tcPr>
          <w:p w14:paraId="2BA766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0B41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6266B94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77063CE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00D500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03" w:type="dxa"/>
            <w:vAlign w:val="center"/>
          </w:tcPr>
          <w:p w14:paraId="110BF5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w:t>
            </w:r>
          </w:p>
        </w:tc>
        <w:tc>
          <w:tcPr>
            <w:tcW w:w="1669" w:type="dxa"/>
            <w:vMerge w:val="continue"/>
            <w:vAlign w:val="center"/>
          </w:tcPr>
          <w:p w14:paraId="73AEDD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14:textFill>
                  <w14:solidFill>
                    <w14:schemeClr w14:val="tx1"/>
                  </w14:solidFill>
                </w14:textFill>
              </w:rPr>
            </w:pPr>
          </w:p>
        </w:tc>
        <w:tc>
          <w:tcPr>
            <w:tcW w:w="459" w:type="dxa"/>
            <w:vAlign w:val="center"/>
          </w:tcPr>
          <w:p w14:paraId="70EF853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14:textFill>
                  <w14:solidFill>
                    <w14:schemeClr w14:val="tx1"/>
                  </w14:solidFill>
                </w14:textFill>
              </w:rPr>
            </w:pPr>
            <w:r>
              <w:rPr>
                <w:rFonts w:hint="eastAsia" w:ascii="宋体" w:hAnsi="宋体" w:eastAsia="宋体" w:cs="宋体"/>
                <w:bCs/>
                <w:color w:val="auto"/>
                <w:kern w:val="0"/>
                <w:sz w:val="18"/>
                <w:szCs w:val="18"/>
                <w:highlight w:val="none"/>
                <w:lang w:val="en-US" w:eastAsia="zh-CN"/>
              </w:rPr>
              <w:t>B</w:t>
            </w:r>
          </w:p>
        </w:tc>
        <w:tc>
          <w:tcPr>
            <w:tcW w:w="769" w:type="dxa"/>
            <w:vAlign w:val="center"/>
          </w:tcPr>
          <w:p w14:paraId="1A5B7D8D">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highlight w:val="none"/>
                <w:lang w:val="en-US" w:eastAsia="zh-CN" w:bidi="ar"/>
              </w:rPr>
              <w:t>32</w:t>
            </w:r>
          </w:p>
        </w:tc>
        <w:tc>
          <w:tcPr>
            <w:tcW w:w="694" w:type="dxa"/>
            <w:vAlign w:val="center"/>
          </w:tcPr>
          <w:p w14:paraId="19660F5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637" w:type="dxa"/>
            <w:vAlign w:val="center"/>
          </w:tcPr>
          <w:p w14:paraId="75BD64D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26" w:type="dxa"/>
            <w:vAlign w:val="center"/>
          </w:tcPr>
          <w:p w14:paraId="4F9FCC4B">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539" w:type="dxa"/>
            <w:vAlign w:val="center"/>
          </w:tcPr>
          <w:p w14:paraId="21C73B7B">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p>
        </w:tc>
        <w:tc>
          <w:tcPr>
            <w:tcW w:w="539" w:type="dxa"/>
            <w:vAlign w:val="center"/>
          </w:tcPr>
          <w:p w14:paraId="3CE74A16">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highlight w:val="none"/>
                <w:lang w:val="en-US" w:eastAsia="zh-CN" w:bidi="ar"/>
              </w:rPr>
              <w:t>32</w:t>
            </w:r>
          </w:p>
        </w:tc>
        <w:tc>
          <w:tcPr>
            <w:tcW w:w="539" w:type="dxa"/>
            <w:vAlign w:val="center"/>
          </w:tcPr>
          <w:p w14:paraId="1843A98B">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4D0C49B4">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2AB709B2">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14" w:type="dxa"/>
            <w:vAlign w:val="center"/>
          </w:tcPr>
          <w:p w14:paraId="35598B28">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c>
          <w:tcPr>
            <w:tcW w:w="606" w:type="dxa"/>
            <w:vAlign w:val="center"/>
          </w:tcPr>
          <w:p w14:paraId="57161F9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color w:val="auto"/>
                <w:kern w:val="0"/>
                <w:sz w:val="18"/>
                <w:szCs w:val="18"/>
                <w:highlight w:val="none"/>
                <w:lang w:bidi="ar"/>
              </w:rPr>
              <w:t>③⑤</w:t>
            </w:r>
          </w:p>
        </w:tc>
        <w:tc>
          <w:tcPr>
            <w:tcW w:w="557" w:type="dxa"/>
            <w:vAlign w:val="center"/>
          </w:tcPr>
          <w:p w14:paraId="3188C1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396C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23DD46D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1B76B6D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53" w:type="dxa"/>
            <w:gridSpan w:val="2"/>
            <w:vAlign w:val="center"/>
          </w:tcPr>
          <w:p w14:paraId="380DA67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小计</w:t>
            </w:r>
          </w:p>
        </w:tc>
        <w:tc>
          <w:tcPr>
            <w:tcW w:w="1669" w:type="dxa"/>
            <w:vAlign w:val="center"/>
          </w:tcPr>
          <w:p w14:paraId="6D1BA00C">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0"/>
                <w:sz w:val="18"/>
                <w:szCs w:val="18"/>
                <w:highlight w:val="none"/>
              </w:rPr>
            </w:pPr>
          </w:p>
        </w:tc>
        <w:tc>
          <w:tcPr>
            <w:tcW w:w="459" w:type="dxa"/>
            <w:vAlign w:val="center"/>
          </w:tcPr>
          <w:p w14:paraId="044E60E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0"/>
                <w:sz w:val="18"/>
                <w:szCs w:val="18"/>
                <w:highlight w:val="none"/>
              </w:rPr>
            </w:pPr>
          </w:p>
        </w:tc>
        <w:tc>
          <w:tcPr>
            <w:tcW w:w="769" w:type="dxa"/>
            <w:vAlign w:val="center"/>
          </w:tcPr>
          <w:p w14:paraId="7C0640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128</w:t>
            </w:r>
          </w:p>
        </w:tc>
        <w:tc>
          <w:tcPr>
            <w:tcW w:w="694" w:type="dxa"/>
            <w:vAlign w:val="center"/>
          </w:tcPr>
          <w:p w14:paraId="778499E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64</w:t>
            </w:r>
          </w:p>
        </w:tc>
        <w:tc>
          <w:tcPr>
            <w:tcW w:w="637" w:type="dxa"/>
            <w:vAlign w:val="center"/>
          </w:tcPr>
          <w:p w14:paraId="499343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64</w:t>
            </w:r>
          </w:p>
        </w:tc>
        <w:tc>
          <w:tcPr>
            <w:tcW w:w="526" w:type="dxa"/>
            <w:vAlign w:val="center"/>
          </w:tcPr>
          <w:p w14:paraId="60A409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539" w:type="dxa"/>
            <w:vAlign w:val="center"/>
          </w:tcPr>
          <w:p w14:paraId="16EA50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64</w:t>
            </w:r>
          </w:p>
        </w:tc>
        <w:tc>
          <w:tcPr>
            <w:tcW w:w="539" w:type="dxa"/>
            <w:vAlign w:val="center"/>
          </w:tcPr>
          <w:p w14:paraId="1DF2A87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64</w:t>
            </w:r>
          </w:p>
        </w:tc>
        <w:tc>
          <w:tcPr>
            <w:tcW w:w="539" w:type="dxa"/>
            <w:vAlign w:val="center"/>
          </w:tcPr>
          <w:p w14:paraId="206D8AEB">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0"/>
                <w:sz w:val="18"/>
                <w:szCs w:val="18"/>
                <w:highlight w:val="none"/>
                <w:lang w:val="en-US" w:eastAsia="zh-CN"/>
              </w:rPr>
            </w:pPr>
          </w:p>
        </w:tc>
        <w:tc>
          <w:tcPr>
            <w:tcW w:w="539" w:type="dxa"/>
            <w:vAlign w:val="center"/>
          </w:tcPr>
          <w:p w14:paraId="6F2266FD">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0"/>
                <w:sz w:val="18"/>
                <w:szCs w:val="18"/>
                <w:highlight w:val="none"/>
                <w:lang w:val="en-US" w:eastAsia="zh-CN"/>
              </w:rPr>
            </w:pPr>
          </w:p>
        </w:tc>
        <w:tc>
          <w:tcPr>
            <w:tcW w:w="539" w:type="dxa"/>
            <w:vAlign w:val="center"/>
          </w:tcPr>
          <w:p w14:paraId="5EBAEF80">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0"/>
                <w:sz w:val="18"/>
                <w:szCs w:val="18"/>
                <w:highlight w:val="none"/>
                <w:lang w:val="en-US" w:eastAsia="zh-CN"/>
              </w:rPr>
            </w:pPr>
          </w:p>
        </w:tc>
        <w:tc>
          <w:tcPr>
            <w:tcW w:w="614" w:type="dxa"/>
            <w:vAlign w:val="center"/>
          </w:tcPr>
          <w:p w14:paraId="5018CA5C">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val="0"/>
                <w:bCs/>
                <w:color w:val="auto"/>
                <w:kern w:val="0"/>
                <w:sz w:val="18"/>
                <w:szCs w:val="18"/>
                <w:highlight w:val="none"/>
                <w:lang w:val="en-US" w:eastAsia="zh-CN"/>
              </w:rPr>
            </w:pPr>
          </w:p>
        </w:tc>
        <w:tc>
          <w:tcPr>
            <w:tcW w:w="606" w:type="dxa"/>
            <w:vAlign w:val="center"/>
          </w:tcPr>
          <w:p w14:paraId="5472857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val="0"/>
                <w:bCs/>
                <w:color w:val="auto"/>
                <w:kern w:val="0"/>
                <w:sz w:val="18"/>
                <w:szCs w:val="18"/>
                <w:highlight w:val="none"/>
                <w:lang w:val="en-US" w:eastAsia="zh-CN"/>
              </w:rPr>
            </w:pPr>
          </w:p>
        </w:tc>
        <w:tc>
          <w:tcPr>
            <w:tcW w:w="557" w:type="dxa"/>
            <w:vAlign w:val="center"/>
          </w:tcPr>
          <w:p w14:paraId="6684B2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p>
        </w:tc>
      </w:tr>
      <w:tr w14:paraId="1DF3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70" w:type="dxa"/>
            <w:vMerge w:val="restart"/>
            <w:vAlign w:val="center"/>
          </w:tcPr>
          <w:p w14:paraId="756CF43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340" w:type="dxa"/>
            <w:vMerge w:val="restart"/>
            <w:vAlign w:val="center"/>
          </w:tcPr>
          <w:p w14:paraId="4D7546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450" w:type="dxa"/>
            <w:vAlign w:val="center"/>
          </w:tcPr>
          <w:p w14:paraId="75C0B4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1003" w:type="dxa"/>
            <w:vAlign w:val="center"/>
          </w:tcPr>
          <w:p w14:paraId="2BB732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ZN0003Z</w:t>
            </w:r>
          </w:p>
        </w:tc>
        <w:tc>
          <w:tcPr>
            <w:tcW w:w="1669" w:type="dxa"/>
            <w:vAlign w:val="center"/>
          </w:tcPr>
          <w:p w14:paraId="44D20D6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计算机网络技术</w:t>
            </w:r>
          </w:p>
        </w:tc>
        <w:tc>
          <w:tcPr>
            <w:tcW w:w="459" w:type="dxa"/>
            <w:vAlign w:val="center"/>
          </w:tcPr>
          <w:p w14:paraId="092504A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457D9B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vAlign w:val="center"/>
          </w:tcPr>
          <w:p w14:paraId="18872C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vAlign w:val="center"/>
          </w:tcPr>
          <w:p w14:paraId="16BCA4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vAlign w:val="center"/>
          </w:tcPr>
          <w:p w14:paraId="43E834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6C7313A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60727C2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8497E81">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2129C8C">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CFADFF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3B0DC60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6C99CAF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①③</w:t>
            </w:r>
          </w:p>
        </w:tc>
        <w:tc>
          <w:tcPr>
            <w:tcW w:w="557" w:type="dxa"/>
            <w:vAlign w:val="center"/>
          </w:tcPr>
          <w:p w14:paraId="5561C8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224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4F34071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4D6D12B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5FF6CD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1003" w:type="dxa"/>
            <w:vAlign w:val="center"/>
          </w:tcPr>
          <w:p w14:paraId="2F0CDB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ZN0064Z</w:t>
            </w:r>
          </w:p>
        </w:tc>
        <w:tc>
          <w:tcPr>
            <w:tcW w:w="1669" w:type="dxa"/>
            <w:vAlign w:val="center"/>
          </w:tcPr>
          <w:p w14:paraId="431DCF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Web前端技术基础</w:t>
            </w:r>
          </w:p>
        </w:tc>
        <w:tc>
          <w:tcPr>
            <w:tcW w:w="459" w:type="dxa"/>
            <w:vAlign w:val="center"/>
          </w:tcPr>
          <w:p w14:paraId="1D1EC2E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63E6E3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94" w:type="dxa"/>
            <w:vAlign w:val="center"/>
          </w:tcPr>
          <w:p w14:paraId="514C22E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37" w:type="dxa"/>
            <w:vAlign w:val="center"/>
          </w:tcPr>
          <w:p w14:paraId="58C2606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26" w:type="dxa"/>
            <w:vAlign w:val="center"/>
          </w:tcPr>
          <w:p w14:paraId="6C8DE0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9" w:type="dxa"/>
            <w:vAlign w:val="center"/>
          </w:tcPr>
          <w:p w14:paraId="27734B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39" w:type="dxa"/>
            <w:vAlign w:val="center"/>
          </w:tcPr>
          <w:p w14:paraId="003748E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B06102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8C3DD0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18F43CD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50C254A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2722F26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③⑦</w:t>
            </w:r>
          </w:p>
        </w:tc>
        <w:tc>
          <w:tcPr>
            <w:tcW w:w="557" w:type="dxa"/>
            <w:vAlign w:val="center"/>
          </w:tcPr>
          <w:p w14:paraId="7C26FC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110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1A224C9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106D210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2B35A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003" w:type="dxa"/>
            <w:shd w:val="clear" w:color="auto" w:fill="auto"/>
            <w:vAlign w:val="center"/>
          </w:tcPr>
          <w:p w14:paraId="6A3EB2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ZN0019Z</w:t>
            </w:r>
          </w:p>
        </w:tc>
        <w:tc>
          <w:tcPr>
            <w:tcW w:w="1669" w:type="dxa"/>
            <w:vAlign w:val="center"/>
          </w:tcPr>
          <w:p w14:paraId="542594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Linux操作系统</w:t>
            </w:r>
          </w:p>
        </w:tc>
        <w:tc>
          <w:tcPr>
            <w:tcW w:w="459" w:type="dxa"/>
            <w:vAlign w:val="center"/>
          </w:tcPr>
          <w:p w14:paraId="7E2BB69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3A9F53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vAlign w:val="center"/>
          </w:tcPr>
          <w:p w14:paraId="00940C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vAlign w:val="center"/>
          </w:tcPr>
          <w:p w14:paraId="0CC4397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vAlign w:val="center"/>
          </w:tcPr>
          <w:p w14:paraId="681732F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79057ADC">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DE3E1D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124DB60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5E06C71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DDF476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105B511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6715492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③④</w:t>
            </w:r>
          </w:p>
        </w:tc>
        <w:tc>
          <w:tcPr>
            <w:tcW w:w="557" w:type="dxa"/>
            <w:vAlign w:val="center"/>
          </w:tcPr>
          <w:p w14:paraId="7E6952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32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49DC346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4FA703B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E03E0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1003" w:type="dxa"/>
            <w:shd w:val="clear" w:color="auto" w:fill="auto"/>
            <w:vAlign w:val="center"/>
          </w:tcPr>
          <w:p w14:paraId="5D67A06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ZN0065Z</w:t>
            </w:r>
          </w:p>
        </w:tc>
        <w:tc>
          <w:tcPr>
            <w:tcW w:w="1669" w:type="dxa"/>
            <w:vAlign w:val="center"/>
          </w:tcPr>
          <w:p w14:paraId="4EEF07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程序设计基础</w:t>
            </w:r>
          </w:p>
        </w:tc>
        <w:tc>
          <w:tcPr>
            <w:tcW w:w="459" w:type="dxa"/>
            <w:vAlign w:val="center"/>
          </w:tcPr>
          <w:p w14:paraId="7E2CB86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4ACC46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94" w:type="dxa"/>
            <w:vAlign w:val="center"/>
          </w:tcPr>
          <w:p w14:paraId="5432C8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37" w:type="dxa"/>
            <w:vAlign w:val="center"/>
          </w:tcPr>
          <w:p w14:paraId="65A66E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26" w:type="dxa"/>
            <w:vAlign w:val="center"/>
          </w:tcPr>
          <w:p w14:paraId="438B43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9" w:type="dxa"/>
            <w:vAlign w:val="center"/>
          </w:tcPr>
          <w:p w14:paraId="2547A29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4957F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39" w:type="dxa"/>
            <w:vAlign w:val="center"/>
          </w:tcPr>
          <w:p w14:paraId="7EFE323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3F803B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1A1620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6782606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5A758B4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①③</w:t>
            </w:r>
          </w:p>
        </w:tc>
        <w:tc>
          <w:tcPr>
            <w:tcW w:w="557" w:type="dxa"/>
            <w:vAlign w:val="center"/>
          </w:tcPr>
          <w:p w14:paraId="08664E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386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61E816B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26AC2F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406A2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003" w:type="dxa"/>
            <w:shd w:val="clear" w:color="auto" w:fill="auto"/>
            <w:vAlign w:val="center"/>
          </w:tcPr>
          <w:p w14:paraId="64F4CD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ZN0066Z</w:t>
            </w:r>
          </w:p>
        </w:tc>
        <w:tc>
          <w:tcPr>
            <w:tcW w:w="1669" w:type="dxa"/>
            <w:vAlign w:val="center"/>
          </w:tcPr>
          <w:p w14:paraId="63FF286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Python编程基础</w:t>
            </w:r>
          </w:p>
        </w:tc>
        <w:tc>
          <w:tcPr>
            <w:tcW w:w="459" w:type="dxa"/>
            <w:vAlign w:val="center"/>
          </w:tcPr>
          <w:p w14:paraId="466FD46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210B92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vAlign w:val="center"/>
          </w:tcPr>
          <w:p w14:paraId="0EBF77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vAlign w:val="center"/>
          </w:tcPr>
          <w:p w14:paraId="5BD1B2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vAlign w:val="center"/>
          </w:tcPr>
          <w:p w14:paraId="0EB0BFD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111633B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657BCDD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5BC4575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3581759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6264237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7D2690A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03F6B32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③⑦</w:t>
            </w:r>
          </w:p>
        </w:tc>
        <w:tc>
          <w:tcPr>
            <w:tcW w:w="557" w:type="dxa"/>
            <w:vAlign w:val="center"/>
          </w:tcPr>
          <w:p w14:paraId="3941983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7F8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1DC3FD7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0ACE35D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58BDA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1003" w:type="dxa"/>
            <w:shd w:val="clear" w:color="auto" w:fill="auto"/>
            <w:vAlign w:val="center"/>
          </w:tcPr>
          <w:p w14:paraId="73B613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ZN0067Z</w:t>
            </w:r>
          </w:p>
        </w:tc>
        <w:tc>
          <w:tcPr>
            <w:tcW w:w="1669" w:type="dxa"/>
            <w:vAlign w:val="center"/>
          </w:tcPr>
          <w:p w14:paraId="76A58C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数据库技术</w:t>
            </w:r>
          </w:p>
        </w:tc>
        <w:tc>
          <w:tcPr>
            <w:tcW w:w="459" w:type="dxa"/>
            <w:vAlign w:val="center"/>
          </w:tcPr>
          <w:p w14:paraId="597D7BE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6A5598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94" w:type="dxa"/>
            <w:vAlign w:val="center"/>
          </w:tcPr>
          <w:p w14:paraId="336478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37" w:type="dxa"/>
            <w:vAlign w:val="center"/>
          </w:tcPr>
          <w:p w14:paraId="528ACD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26" w:type="dxa"/>
            <w:vAlign w:val="center"/>
          </w:tcPr>
          <w:p w14:paraId="262B3C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9" w:type="dxa"/>
            <w:vAlign w:val="center"/>
          </w:tcPr>
          <w:p w14:paraId="19B5409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AB9AE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39" w:type="dxa"/>
            <w:vAlign w:val="center"/>
          </w:tcPr>
          <w:p w14:paraId="0BA4970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248C3F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46E4A02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6B20B83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56DED63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①③</w:t>
            </w:r>
          </w:p>
        </w:tc>
        <w:tc>
          <w:tcPr>
            <w:tcW w:w="557" w:type="dxa"/>
            <w:vAlign w:val="center"/>
          </w:tcPr>
          <w:p w14:paraId="0BD884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D34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37E80E2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135F985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53" w:type="dxa"/>
            <w:gridSpan w:val="2"/>
            <w:vAlign w:val="center"/>
          </w:tcPr>
          <w:p w14:paraId="56C287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669" w:type="dxa"/>
            <w:vAlign w:val="center"/>
          </w:tcPr>
          <w:p w14:paraId="58F44EF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vAlign w:val="center"/>
          </w:tcPr>
          <w:p w14:paraId="48F03B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769" w:type="dxa"/>
            <w:vAlign w:val="center"/>
          </w:tcPr>
          <w:p w14:paraId="70B500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288</w:t>
            </w:r>
          </w:p>
        </w:tc>
        <w:tc>
          <w:tcPr>
            <w:tcW w:w="694" w:type="dxa"/>
            <w:vAlign w:val="center"/>
          </w:tcPr>
          <w:p w14:paraId="34D216F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144</w:t>
            </w:r>
          </w:p>
        </w:tc>
        <w:tc>
          <w:tcPr>
            <w:tcW w:w="637" w:type="dxa"/>
            <w:vAlign w:val="center"/>
          </w:tcPr>
          <w:p w14:paraId="732895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144</w:t>
            </w:r>
          </w:p>
        </w:tc>
        <w:tc>
          <w:tcPr>
            <w:tcW w:w="526" w:type="dxa"/>
            <w:vAlign w:val="center"/>
          </w:tcPr>
          <w:p w14:paraId="1EE14E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539" w:type="dxa"/>
            <w:vAlign w:val="center"/>
          </w:tcPr>
          <w:p w14:paraId="1F6BC34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96</w:t>
            </w:r>
          </w:p>
        </w:tc>
        <w:tc>
          <w:tcPr>
            <w:tcW w:w="539" w:type="dxa"/>
            <w:vAlign w:val="center"/>
          </w:tcPr>
          <w:p w14:paraId="7C139E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539" w:type="dxa"/>
            <w:vAlign w:val="center"/>
          </w:tcPr>
          <w:p w14:paraId="708D73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B257B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4A8104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6A5004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427B10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57" w:type="dxa"/>
            <w:vAlign w:val="center"/>
          </w:tcPr>
          <w:p w14:paraId="2CC290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5E1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70" w:type="dxa"/>
            <w:vMerge w:val="continue"/>
            <w:vAlign w:val="center"/>
          </w:tcPr>
          <w:p w14:paraId="616824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restart"/>
            <w:vAlign w:val="center"/>
          </w:tcPr>
          <w:p w14:paraId="24975D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450" w:type="dxa"/>
            <w:vAlign w:val="center"/>
          </w:tcPr>
          <w:p w14:paraId="30AC35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1003" w:type="dxa"/>
            <w:vAlign w:val="center"/>
          </w:tcPr>
          <w:p w14:paraId="723D22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ZN0068Z</w:t>
            </w:r>
          </w:p>
        </w:tc>
        <w:tc>
          <w:tcPr>
            <w:tcW w:w="1669" w:type="dxa"/>
            <w:vAlign w:val="center"/>
          </w:tcPr>
          <w:p w14:paraId="7C3785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Python网络爬虫与数据采集</w:t>
            </w:r>
          </w:p>
        </w:tc>
        <w:tc>
          <w:tcPr>
            <w:tcW w:w="459" w:type="dxa"/>
            <w:vAlign w:val="center"/>
          </w:tcPr>
          <w:p w14:paraId="19793AC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642A82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vAlign w:val="center"/>
          </w:tcPr>
          <w:p w14:paraId="1E0513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vAlign w:val="center"/>
          </w:tcPr>
          <w:p w14:paraId="466A35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vAlign w:val="center"/>
          </w:tcPr>
          <w:p w14:paraId="71C70E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2A97193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A27A20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619FD4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760FC1A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39195D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7F04230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235C034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③⑥</w:t>
            </w:r>
          </w:p>
        </w:tc>
        <w:tc>
          <w:tcPr>
            <w:tcW w:w="557" w:type="dxa"/>
            <w:vAlign w:val="center"/>
          </w:tcPr>
          <w:p w14:paraId="152D65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399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0503733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666C34B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732DF4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1003" w:type="dxa"/>
            <w:vAlign w:val="center"/>
          </w:tcPr>
          <w:p w14:paraId="0283A4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ZN0069Z</w:t>
            </w:r>
          </w:p>
        </w:tc>
        <w:tc>
          <w:tcPr>
            <w:tcW w:w="1669" w:type="dxa"/>
            <w:vAlign w:val="center"/>
          </w:tcPr>
          <w:p w14:paraId="2E2FF4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数据预处理技术</w:t>
            </w:r>
          </w:p>
        </w:tc>
        <w:tc>
          <w:tcPr>
            <w:tcW w:w="459" w:type="dxa"/>
            <w:vAlign w:val="center"/>
          </w:tcPr>
          <w:p w14:paraId="50F2351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2BF5B3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94" w:type="dxa"/>
            <w:vAlign w:val="center"/>
          </w:tcPr>
          <w:p w14:paraId="7BA937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37" w:type="dxa"/>
            <w:vAlign w:val="center"/>
          </w:tcPr>
          <w:p w14:paraId="67457A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26" w:type="dxa"/>
            <w:vAlign w:val="center"/>
          </w:tcPr>
          <w:p w14:paraId="2296CE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9" w:type="dxa"/>
            <w:vAlign w:val="center"/>
          </w:tcPr>
          <w:p w14:paraId="1DEC0A8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1E0A1AF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19125F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39" w:type="dxa"/>
            <w:vAlign w:val="center"/>
          </w:tcPr>
          <w:p w14:paraId="70FF414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D7D41F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49A9E099">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0F7C69F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③⑧</w:t>
            </w:r>
          </w:p>
        </w:tc>
        <w:tc>
          <w:tcPr>
            <w:tcW w:w="557" w:type="dxa"/>
            <w:vAlign w:val="center"/>
          </w:tcPr>
          <w:p w14:paraId="37F59B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896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70" w:type="dxa"/>
            <w:vMerge w:val="continue"/>
            <w:vAlign w:val="center"/>
          </w:tcPr>
          <w:p w14:paraId="235BB5D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0A5677E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93BF1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003" w:type="dxa"/>
            <w:shd w:val="clear" w:color="auto" w:fill="auto"/>
            <w:vAlign w:val="center"/>
          </w:tcPr>
          <w:p w14:paraId="2B731E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ZN0070Z</w:t>
            </w:r>
          </w:p>
        </w:tc>
        <w:tc>
          <w:tcPr>
            <w:tcW w:w="1669" w:type="dxa"/>
            <w:vAlign w:val="center"/>
          </w:tcPr>
          <w:p w14:paraId="6EA0CEF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Spark大数据分析与应用</w:t>
            </w:r>
          </w:p>
        </w:tc>
        <w:tc>
          <w:tcPr>
            <w:tcW w:w="459" w:type="dxa"/>
            <w:vAlign w:val="center"/>
          </w:tcPr>
          <w:p w14:paraId="6AF76BC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B</w:t>
            </w:r>
          </w:p>
        </w:tc>
        <w:tc>
          <w:tcPr>
            <w:tcW w:w="769" w:type="dxa"/>
            <w:vAlign w:val="center"/>
          </w:tcPr>
          <w:p w14:paraId="2C3477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vAlign w:val="center"/>
          </w:tcPr>
          <w:p w14:paraId="43FDC6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vAlign w:val="center"/>
          </w:tcPr>
          <w:p w14:paraId="47A1AA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vAlign w:val="center"/>
          </w:tcPr>
          <w:p w14:paraId="471B48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4BEB74F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1F9CD1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52F05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64B170B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30A2A95">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2606278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7725B12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③⑦</w:t>
            </w:r>
          </w:p>
        </w:tc>
        <w:tc>
          <w:tcPr>
            <w:tcW w:w="557" w:type="dxa"/>
            <w:vAlign w:val="center"/>
          </w:tcPr>
          <w:p w14:paraId="3A5A28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A45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022D03F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216E455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FC279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1003" w:type="dxa"/>
            <w:shd w:val="clear" w:color="auto" w:fill="auto"/>
            <w:vAlign w:val="center"/>
          </w:tcPr>
          <w:p w14:paraId="47FEE3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ZN0071Z</w:t>
            </w:r>
          </w:p>
        </w:tc>
        <w:tc>
          <w:tcPr>
            <w:tcW w:w="1669" w:type="dxa"/>
            <w:vAlign w:val="center"/>
          </w:tcPr>
          <w:p w14:paraId="248EB6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Web数据可视化</w:t>
            </w:r>
          </w:p>
        </w:tc>
        <w:tc>
          <w:tcPr>
            <w:tcW w:w="459" w:type="dxa"/>
            <w:vAlign w:val="center"/>
          </w:tcPr>
          <w:p w14:paraId="2382B4E1">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5C04AD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vAlign w:val="center"/>
          </w:tcPr>
          <w:p w14:paraId="54ABB2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vAlign w:val="center"/>
          </w:tcPr>
          <w:p w14:paraId="76F0F0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vAlign w:val="center"/>
          </w:tcPr>
          <w:p w14:paraId="51A1B6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3AEBDD6C">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DB4BBC5">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3054EA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656ECE8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3C802C1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73B0959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41EAC24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③⑦</w:t>
            </w:r>
          </w:p>
        </w:tc>
        <w:tc>
          <w:tcPr>
            <w:tcW w:w="557" w:type="dxa"/>
            <w:vAlign w:val="center"/>
          </w:tcPr>
          <w:p w14:paraId="2F2ACE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0BB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6D759B9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79C64CA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B160D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003" w:type="dxa"/>
            <w:shd w:val="clear" w:color="auto" w:fill="auto"/>
            <w:vAlign w:val="center"/>
          </w:tcPr>
          <w:p w14:paraId="7E946FA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ZN0072Z</w:t>
            </w:r>
          </w:p>
        </w:tc>
        <w:tc>
          <w:tcPr>
            <w:tcW w:w="1669" w:type="dxa"/>
            <w:vAlign w:val="center"/>
          </w:tcPr>
          <w:p w14:paraId="3EACF3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数据挖掘应用</w:t>
            </w:r>
          </w:p>
        </w:tc>
        <w:tc>
          <w:tcPr>
            <w:tcW w:w="459" w:type="dxa"/>
            <w:vAlign w:val="center"/>
          </w:tcPr>
          <w:p w14:paraId="3A3139F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1B0F83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vAlign w:val="center"/>
          </w:tcPr>
          <w:p w14:paraId="6AA4FB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vAlign w:val="center"/>
          </w:tcPr>
          <w:p w14:paraId="5AE6C2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vAlign w:val="center"/>
          </w:tcPr>
          <w:p w14:paraId="72B247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22D2F03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2102C3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AA10F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04BEFAE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3F53859C">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55B5291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172EE4F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③⑤</w:t>
            </w:r>
          </w:p>
        </w:tc>
        <w:tc>
          <w:tcPr>
            <w:tcW w:w="557" w:type="dxa"/>
            <w:vAlign w:val="center"/>
          </w:tcPr>
          <w:p w14:paraId="5F217A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861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06259A5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25FED69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B3C55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1003" w:type="dxa"/>
            <w:shd w:val="clear" w:color="auto" w:fill="auto"/>
            <w:vAlign w:val="center"/>
          </w:tcPr>
          <w:p w14:paraId="2E4C4D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ZN0073Z</w:t>
            </w:r>
          </w:p>
        </w:tc>
        <w:tc>
          <w:tcPr>
            <w:tcW w:w="1669" w:type="dxa"/>
            <w:vAlign w:val="center"/>
          </w:tcPr>
          <w:p w14:paraId="228CFD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Hadoop平台搭建与应用</w:t>
            </w:r>
          </w:p>
        </w:tc>
        <w:tc>
          <w:tcPr>
            <w:tcW w:w="459" w:type="dxa"/>
            <w:vAlign w:val="center"/>
          </w:tcPr>
          <w:p w14:paraId="6F77F4E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732AFF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94" w:type="dxa"/>
            <w:vAlign w:val="center"/>
          </w:tcPr>
          <w:p w14:paraId="77F0F04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37" w:type="dxa"/>
            <w:vAlign w:val="center"/>
          </w:tcPr>
          <w:p w14:paraId="42AF17B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526" w:type="dxa"/>
            <w:vAlign w:val="center"/>
          </w:tcPr>
          <w:p w14:paraId="737E84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539" w:type="dxa"/>
            <w:vAlign w:val="center"/>
          </w:tcPr>
          <w:p w14:paraId="517A715C">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E4CE79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1A21227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1EE612F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39" w:type="dxa"/>
            <w:vAlign w:val="center"/>
          </w:tcPr>
          <w:p w14:paraId="5E1E4491">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0773EB9C">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514B6CC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③④</w:t>
            </w:r>
          </w:p>
        </w:tc>
        <w:tc>
          <w:tcPr>
            <w:tcW w:w="557" w:type="dxa"/>
            <w:vAlign w:val="center"/>
          </w:tcPr>
          <w:p w14:paraId="7149FB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BB4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3C660DF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6D1A6E8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53" w:type="dxa"/>
            <w:gridSpan w:val="2"/>
            <w:vAlign w:val="center"/>
          </w:tcPr>
          <w:p w14:paraId="11E018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669" w:type="dxa"/>
            <w:vAlign w:val="center"/>
          </w:tcPr>
          <w:p w14:paraId="10E390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vAlign w:val="center"/>
          </w:tcPr>
          <w:p w14:paraId="21C641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769" w:type="dxa"/>
            <w:vAlign w:val="center"/>
          </w:tcPr>
          <w:p w14:paraId="6BF243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320</w:t>
            </w:r>
          </w:p>
        </w:tc>
        <w:tc>
          <w:tcPr>
            <w:tcW w:w="694" w:type="dxa"/>
            <w:vAlign w:val="center"/>
          </w:tcPr>
          <w:p w14:paraId="21B089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637" w:type="dxa"/>
            <w:vAlign w:val="center"/>
          </w:tcPr>
          <w:p w14:paraId="3584D3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526" w:type="dxa"/>
            <w:vAlign w:val="center"/>
          </w:tcPr>
          <w:p w14:paraId="6134F2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539" w:type="dxa"/>
            <w:vAlign w:val="center"/>
          </w:tcPr>
          <w:p w14:paraId="14F164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6D9CC0D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469E38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288</w:t>
            </w:r>
          </w:p>
        </w:tc>
        <w:tc>
          <w:tcPr>
            <w:tcW w:w="539" w:type="dxa"/>
            <w:vAlign w:val="center"/>
          </w:tcPr>
          <w:p w14:paraId="4853EE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39" w:type="dxa"/>
            <w:vAlign w:val="center"/>
          </w:tcPr>
          <w:p w14:paraId="244A175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18FC360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7532753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57" w:type="dxa"/>
            <w:vAlign w:val="center"/>
          </w:tcPr>
          <w:p w14:paraId="38A1AE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DBF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restart"/>
            <w:vAlign w:val="center"/>
          </w:tcPr>
          <w:p w14:paraId="0698FF5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restart"/>
            <w:vAlign w:val="center"/>
          </w:tcPr>
          <w:p w14:paraId="41C485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450" w:type="dxa"/>
            <w:vAlign w:val="center"/>
          </w:tcPr>
          <w:p w14:paraId="03C5F2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1003" w:type="dxa"/>
            <w:shd w:val="clear" w:color="auto" w:fill="auto"/>
            <w:vAlign w:val="center"/>
          </w:tcPr>
          <w:p w14:paraId="45FC91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ZN0078Z</w:t>
            </w:r>
          </w:p>
        </w:tc>
        <w:tc>
          <w:tcPr>
            <w:tcW w:w="1669" w:type="dxa"/>
            <w:vAlign w:val="center"/>
          </w:tcPr>
          <w:p w14:paraId="42AED8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人工智能导论</w:t>
            </w:r>
          </w:p>
        </w:tc>
        <w:tc>
          <w:tcPr>
            <w:tcW w:w="459" w:type="dxa"/>
            <w:vAlign w:val="center"/>
          </w:tcPr>
          <w:p w14:paraId="096A41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769" w:type="dxa"/>
            <w:shd w:val="clear" w:color="auto" w:fill="auto"/>
            <w:vAlign w:val="center"/>
          </w:tcPr>
          <w:p w14:paraId="1E4D4C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694" w:type="dxa"/>
            <w:shd w:val="clear" w:color="auto" w:fill="auto"/>
            <w:vAlign w:val="center"/>
          </w:tcPr>
          <w:p w14:paraId="46AC70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637" w:type="dxa"/>
            <w:shd w:val="clear" w:color="auto" w:fill="auto"/>
            <w:vAlign w:val="center"/>
          </w:tcPr>
          <w:p w14:paraId="4956B4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526" w:type="dxa"/>
            <w:shd w:val="clear" w:color="auto" w:fill="auto"/>
            <w:vAlign w:val="center"/>
          </w:tcPr>
          <w:p w14:paraId="089A33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539" w:type="dxa"/>
            <w:vAlign w:val="center"/>
          </w:tcPr>
          <w:p w14:paraId="4E7DDE7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5E75966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504A9B9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5A12DA1">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39" w:type="dxa"/>
            <w:vAlign w:val="center"/>
          </w:tcPr>
          <w:p w14:paraId="7A4BDBA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558313F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253DDE2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③⑥</w:t>
            </w:r>
          </w:p>
        </w:tc>
        <w:tc>
          <w:tcPr>
            <w:tcW w:w="557" w:type="dxa"/>
            <w:vMerge w:val="restart"/>
            <w:vAlign w:val="center"/>
          </w:tcPr>
          <w:p w14:paraId="5473FF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三选二</w:t>
            </w:r>
          </w:p>
        </w:tc>
      </w:tr>
      <w:tr w14:paraId="51C3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6AA87C0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00469B4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689246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1003" w:type="dxa"/>
            <w:vAlign w:val="center"/>
          </w:tcPr>
          <w:p w14:paraId="2B4417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ZN0075Z</w:t>
            </w:r>
          </w:p>
        </w:tc>
        <w:tc>
          <w:tcPr>
            <w:tcW w:w="1669" w:type="dxa"/>
            <w:vAlign w:val="center"/>
          </w:tcPr>
          <w:p w14:paraId="1CAFBD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大数据产品运营</w:t>
            </w:r>
          </w:p>
        </w:tc>
        <w:tc>
          <w:tcPr>
            <w:tcW w:w="459" w:type="dxa"/>
            <w:vAlign w:val="center"/>
          </w:tcPr>
          <w:p w14:paraId="0851D3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769" w:type="dxa"/>
            <w:vAlign w:val="center"/>
          </w:tcPr>
          <w:p w14:paraId="3BBEC9D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694" w:type="dxa"/>
            <w:vAlign w:val="center"/>
          </w:tcPr>
          <w:p w14:paraId="25CD518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637" w:type="dxa"/>
            <w:vAlign w:val="center"/>
          </w:tcPr>
          <w:p w14:paraId="49FCE01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526" w:type="dxa"/>
            <w:vAlign w:val="center"/>
          </w:tcPr>
          <w:p w14:paraId="1CBC3F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539" w:type="dxa"/>
            <w:vAlign w:val="center"/>
          </w:tcPr>
          <w:p w14:paraId="0765A6E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5F8780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4BDE3D2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88004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39" w:type="dxa"/>
            <w:vAlign w:val="center"/>
          </w:tcPr>
          <w:p w14:paraId="463FF5F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09ADB029">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75687A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④⑥</w:t>
            </w:r>
          </w:p>
        </w:tc>
        <w:tc>
          <w:tcPr>
            <w:tcW w:w="557" w:type="dxa"/>
            <w:vMerge w:val="continue"/>
            <w:vAlign w:val="center"/>
          </w:tcPr>
          <w:p w14:paraId="6A38ED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63A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3231BB5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24CDB16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330E83E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003" w:type="dxa"/>
            <w:vAlign w:val="center"/>
          </w:tcPr>
          <w:p w14:paraId="332D87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ZN0076Z</w:t>
            </w:r>
          </w:p>
        </w:tc>
        <w:tc>
          <w:tcPr>
            <w:tcW w:w="1669" w:type="dxa"/>
            <w:vAlign w:val="center"/>
          </w:tcPr>
          <w:p w14:paraId="119463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大数据安全技术</w:t>
            </w:r>
          </w:p>
        </w:tc>
        <w:tc>
          <w:tcPr>
            <w:tcW w:w="459" w:type="dxa"/>
            <w:vAlign w:val="center"/>
          </w:tcPr>
          <w:p w14:paraId="36D30B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769" w:type="dxa"/>
            <w:vAlign w:val="center"/>
          </w:tcPr>
          <w:p w14:paraId="75031F7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694" w:type="dxa"/>
            <w:vAlign w:val="center"/>
          </w:tcPr>
          <w:p w14:paraId="0CD443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637" w:type="dxa"/>
            <w:vAlign w:val="center"/>
          </w:tcPr>
          <w:p w14:paraId="1F9DCA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526" w:type="dxa"/>
            <w:vAlign w:val="center"/>
          </w:tcPr>
          <w:p w14:paraId="1E5CC8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539" w:type="dxa"/>
            <w:vAlign w:val="center"/>
          </w:tcPr>
          <w:p w14:paraId="05CCFDE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ABE817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144AB95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54D9E2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539" w:type="dxa"/>
            <w:vAlign w:val="center"/>
          </w:tcPr>
          <w:p w14:paraId="3FE44AA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239BB0B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58A36B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①③</w:t>
            </w:r>
          </w:p>
        </w:tc>
        <w:tc>
          <w:tcPr>
            <w:tcW w:w="557" w:type="dxa"/>
            <w:vMerge w:val="continue"/>
            <w:vAlign w:val="center"/>
          </w:tcPr>
          <w:p w14:paraId="396F28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8F1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4ABC07AF">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3BA6055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46C41D4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1003" w:type="dxa"/>
            <w:vAlign w:val="center"/>
          </w:tcPr>
          <w:p w14:paraId="3AB945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ZN0077Z</w:t>
            </w:r>
          </w:p>
        </w:tc>
        <w:tc>
          <w:tcPr>
            <w:tcW w:w="1669" w:type="dxa"/>
            <w:vAlign w:val="center"/>
          </w:tcPr>
          <w:p w14:paraId="618CE8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大数据项目管理</w:t>
            </w:r>
          </w:p>
        </w:tc>
        <w:tc>
          <w:tcPr>
            <w:tcW w:w="459" w:type="dxa"/>
            <w:vAlign w:val="center"/>
          </w:tcPr>
          <w:p w14:paraId="0E7A23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769" w:type="dxa"/>
            <w:vAlign w:val="center"/>
          </w:tcPr>
          <w:p w14:paraId="338A94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vAlign w:val="center"/>
          </w:tcPr>
          <w:p w14:paraId="00B41F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vAlign w:val="center"/>
          </w:tcPr>
          <w:p w14:paraId="2BB123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vAlign w:val="center"/>
          </w:tcPr>
          <w:p w14:paraId="4658DC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0C99578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329D4E50">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6B0897C">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5356CE1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2899D32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7D0E25C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1EAB42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④⑦</w:t>
            </w:r>
          </w:p>
        </w:tc>
        <w:tc>
          <w:tcPr>
            <w:tcW w:w="557" w:type="dxa"/>
            <w:vMerge w:val="restart"/>
            <w:vAlign w:val="center"/>
          </w:tcPr>
          <w:p w14:paraId="0B43F5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三选二</w:t>
            </w:r>
          </w:p>
        </w:tc>
      </w:tr>
      <w:tr w14:paraId="532C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5D42D33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4E6A2A5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5D89007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003" w:type="dxa"/>
            <w:vAlign w:val="center"/>
          </w:tcPr>
          <w:p w14:paraId="0E006E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ZN0079Z</w:t>
            </w:r>
          </w:p>
        </w:tc>
        <w:tc>
          <w:tcPr>
            <w:tcW w:w="1669" w:type="dxa"/>
            <w:vAlign w:val="center"/>
          </w:tcPr>
          <w:p w14:paraId="4020B49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NoSQL数据库技术应用</w:t>
            </w:r>
          </w:p>
        </w:tc>
        <w:tc>
          <w:tcPr>
            <w:tcW w:w="459" w:type="dxa"/>
            <w:vAlign w:val="center"/>
          </w:tcPr>
          <w:p w14:paraId="4A372E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769" w:type="dxa"/>
            <w:vAlign w:val="center"/>
          </w:tcPr>
          <w:p w14:paraId="3D5568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vAlign w:val="center"/>
          </w:tcPr>
          <w:p w14:paraId="370368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vAlign w:val="center"/>
          </w:tcPr>
          <w:p w14:paraId="482867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vAlign w:val="center"/>
          </w:tcPr>
          <w:p w14:paraId="27E495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64241E9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EAA99A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5317CFD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38A642D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39" w:type="dxa"/>
            <w:vAlign w:val="center"/>
          </w:tcPr>
          <w:p w14:paraId="6B39B22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2BAF8AE2">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4DABC6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④⑦</w:t>
            </w:r>
          </w:p>
        </w:tc>
        <w:tc>
          <w:tcPr>
            <w:tcW w:w="557" w:type="dxa"/>
            <w:vMerge w:val="continue"/>
            <w:vAlign w:val="center"/>
          </w:tcPr>
          <w:p w14:paraId="03DB6C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508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430C882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7006192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642965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1003" w:type="dxa"/>
            <w:shd w:val="clear" w:color="auto" w:fill="auto"/>
            <w:vAlign w:val="center"/>
          </w:tcPr>
          <w:p w14:paraId="6CF30B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ZN0074Z</w:t>
            </w:r>
          </w:p>
        </w:tc>
        <w:tc>
          <w:tcPr>
            <w:tcW w:w="1669" w:type="dxa"/>
            <w:vAlign w:val="center"/>
          </w:tcPr>
          <w:p w14:paraId="78E879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云计算平台技术应用</w:t>
            </w:r>
          </w:p>
        </w:tc>
        <w:tc>
          <w:tcPr>
            <w:tcW w:w="459" w:type="dxa"/>
            <w:vAlign w:val="center"/>
          </w:tcPr>
          <w:p w14:paraId="1797D0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B</w:t>
            </w:r>
          </w:p>
        </w:tc>
        <w:tc>
          <w:tcPr>
            <w:tcW w:w="769" w:type="dxa"/>
            <w:shd w:val="clear" w:color="auto" w:fill="auto"/>
            <w:vAlign w:val="center"/>
          </w:tcPr>
          <w:p w14:paraId="3D1BD3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694" w:type="dxa"/>
            <w:shd w:val="clear" w:color="auto" w:fill="auto"/>
            <w:vAlign w:val="center"/>
          </w:tcPr>
          <w:p w14:paraId="4A16A9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637" w:type="dxa"/>
            <w:shd w:val="clear" w:color="auto" w:fill="auto"/>
            <w:vAlign w:val="center"/>
          </w:tcPr>
          <w:p w14:paraId="14DD97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26" w:type="dxa"/>
            <w:shd w:val="clear" w:color="auto" w:fill="auto"/>
            <w:vAlign w:val="center"/>
          </w:tcPr>
          <w:p w14:paraId="43571C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539" w:type="dxa"/>
            <w:vAlign w:val="center"/>
          </w:tcPr>
          <w:p w14:paraId="046F13B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6598D4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6E84B08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313AB1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539" w:type="dxa"/>
            <w:vAlign w:val="center"/>
          </w:tcPr>
          <w:p w14:paraId="3F239B3C">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5A6993D1">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shd w:val="clear" w:color="auto" w:fill="auto"/>
            <w:vAlign w:val="center"/>
          </w:tcPr>
          <w:p w14:paraId="62BA77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③⑥</w:t>
            </w:r>
          </w:p>
        </w:tc>
        <w:tc>
          <w:tcPr>
            <w:tcW w:w="557" w:type="dxa"/>
            <w:vMerge w:val="continue"/>
            <w:vAlign w:val="center"/>
          </w:tcPr>
          <w:p w14:paraId="2D5268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BC9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4651331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75D079E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53" w:type="dxa"/>
            <w:gridSpan w:val="2"/>
            <w:vAlign w:val="center"/>
          </w:tcPr>
          <w:p w14:paraId="20F5D4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669" w:type="dxa"/>
            <w:vAlign w:val="center"/>
          </w:tcPr>
          <w:p w14:paraId="2DFA80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vAlign w:val="center"/>
          </w:tcPr>
          <w:p w14:paraId="2399B3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769" w:type="dxa"/>
            <w:vAlign w:val="center"/>
          </w:tcPr>
          <w:p w14:paraId="0FA3B3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224</w:t>
            </w:r>
          </w:p>
        </w:tc>
        <w:tc>
          <w:tcPr>
            <w:tcW w:w="694" w:type="dxa"/>
            <w:vAlign w:val="center"/>
          </w:tcPr>
          <w:p w14:paraId="7E93D2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637" w:type="dxa"/>
            <w:vAlign w:val="center"/>
          </w:tcPr>
          <w:p w14:paraId="648F6E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526" w:type="dxa"/>
            <w:vAlign w:val="center"/>
          </w:tcPr>
          <w:p w14:paraId="22468E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w:t>
            </w:r>
          </w:p>
        </w:tc>
        <w:tc>
          <w:tcPr>
            <w:tcW w:w="539" w:type="dxa"/>
            <w:vAlign w:val="center"/>
          </w:tcPr>
          <w:p w14:paraId="72EECA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439B8B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064060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1E07AF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224</w:t>
            </w:r>
          </w:p>
        </w:tc>
        <w:tc>
          <w:tcPr>
            <w:tcW w:w="539" w:type="dxa"/>
            <w:vAlign w:val="center"/>
          </w:tcPr>
          <w:p w14:paraId="517206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73657B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606" w:type="dxa"/>
            <w:vAlign w:val="center"/>
          </w:tcPr>
          <w:p w14:paraId="033084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57" w:type="dxa"/>
            <w:vAlign w:val="center"/>
          </w:tcPr>
          <w:p w14:paraId="16ED2B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A8A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restart"/>
            <w:vAlign w:val="center"/>
          </w:tcPr>
          <w:p w14:paraId="2BDFF1A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restart"/>
            <w:vAlign w:val="center"/>
          </w:tcPr>
          <w:p w14:paraId="7466CE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专业实践</w:t>
            </w:r>
            <w:r>
              <w:rPr>
                <w:rFonts w:hint="eastAsia" w:ascii="宋体" w:hAnsi="宋体" w:eastAsia="宋体" w:cs="宋体"/>
                <w:color w:val="000000" w:themeColor="text1"/>
                <w:kern w:val="0"/>
                <w:sz w:val="18"/>
                <w:szCs w:val="18"/>
                <w14:textFill>
                  <w14:solidFill>
                    <w14:schemeClr w14:val="tx1"/>
                  </w14:solidFill>
                </w14:textFill>
              </w:rPr>
              <w:t>课</w:t>
            </w:r>
          </w:p>
        </w:tc>
        <w:tc>
          <w:tcPr>
            <w:tcW w:w="450" w:type="dxa"/>
            <w:vAlign w:val="center"/>
          </w:tcPr>
          <w:p w14:paraId="2E0D017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1003" w:type="dxa"/>
            <w:vAlign w:val="center"/>
          </w:tcPr>
          <w:p w14:paraId="7944E0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010206Z</w:t>
            </w:r>
          </w:p>
        </w:tc>
        <w:tc>
          <w:tcPr>
            <w:tcW w:w="1669" w:type="dxa"/>
            <w:vAlign w:val="center"/>
          </w:tcPr>
          <w:p w14:paraId="1C8DA3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岗位实习</w:t>
            </w:r>
          </w:p>
        </w:tc>
        <w:tc>
          <w:tcPr>
            <w:tcW w:w="459" w:type="dxa"/>
            <w:vAlign w:val="center"/>
          </w:tcPr>
          <w:p w14:paraId="0F4C31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C</w:t>
            </w:r>
          </w:p>
        </w:tc>
        <w:tc>
          <w:tcPr>
            <w:tcW w:w="769" w:type="dxa"/>
            <w:vAlign w:val="center"/>
          </w:tcPr>
          <w:p w14:paraId="6D323EB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780</w:t>
            </w:r>
          </w:p>
        </w:tc>
        <w:tc>
          <w:tcPr>
            <w:tcW w:w="694" w:type="dxa"/>
            <w:vAlign w:val="center"/>
          </w:tcPr>
          <w:p w14:paraId="68584A1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37" w:type="dxa"/>
            <w:vAlign w:val="center"/>
          </w:tcPr>
          <w:p w14:paraId="2739F1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780</w:t>
            </w:r>
          </w:p>
        </w:tc>
        <w:tc>
          <w:tcPr>
            <w:tcW w:w="526" w:type="dxa"/>
            <w:vAlign w:val="center"/>
          </w:tcPr>
          <w:p w14:paraId="508F0B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539" w:type="dxa"/>
            <w:vAlign w:val="center"/>
          </w:tcPr>
          <w:p w14:paraId="2019251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777864D">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1BB63A0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5513C95">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51C85B9A">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780</w:t>
            </w:r>
          </w:p>
        </w:tc>
        <w:tc>
          <w:tcPr>
            <w:tcW w:w="614" w:type="dxa"/>
            <w:vAlign w:val="center"/>
          </w:tcPr>
          <w:p w14:paraId="38CB11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2B37E6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7" w:type="dxa"/>
            <w:vAlign w:val="center"/>
          </w:tcPr>
          <w:p w14:paraId="0C4005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A8B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5568966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2EBC97B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03744D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1003" w:type="dxa"/>
            <w:vAlign w:val="center"/>
          </w:tcPr>
          <w:p w14:paraId="6FB62BA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010207Z</w:t>
            </w:r>
          </w:p>
        </w:tc>
        <w:tc>
          <w:tcPr>
            <w:tcW w:w="1669" w:type="dxa"/>
            <w:vAlign w:val="center"/>
          </w:tcPr>
          <w:p w14:paraId="672FC6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毕业设计与毕业教育</w:t>
            </w:r>
          </w:p>
        </w:tc>
        <w:tc>
          <w:tcPr>
            <w:tcW w:w="459" w:type="dxa"/>
            <w:vAlign w:val="center"/>
          </w:tcPr>
          <w:p w14:paraId="68ADB7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C</w:t>
            </w:r>
          </w:p>
        </w:tc>
        <w:tc>
          <w:tcPr>
            <w:tcW w:w="769" w:type="dxa"/>
            <w:vAlign w:val="center"/>
          </w:tcPr>
          <w:p w14:paraId="761083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694" w:type="dxa"/>
            <w:vAlign w:val="center"/>
          </w:tcPr>
          <w:p w14:paraId="3F7ACC9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37" w:type="dxa"/>
            <w:vAlign w:val="center"/>
          </w:tcPr>
          <w:p w14:paraId="12A005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526" w:type="dxa"/>
            <w:vAlign w:val="center"/>
          </w:tcPr>
          <w:p w14:paraId="31D8600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539" w:type="dxa"/>
            <w:vAlign w:val="center"/>
          </w:tcPr>
          <w:p w14:paraId="38595107">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216220D6">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3CDAF038">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597D7C91">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75F5815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614" w:type="dxa"/>
            <w:vAlign w:val="center"/>
          </w:tcPr>
          <w:p w14:paraId="1A6709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606" w:type="dxa"/>
            <w:vAlign w:val="center"/>
          </w:tcPr>
          <w:p w14:paraId="1BB833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57" w:type="dxa"/>
            <w:vAlign w:val="center"/>
          </w:tcPr>
          <w:p w14:paraId="43B550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2BB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0" w:type="dxa"/>
            <w:vMerge w:val="continue"/>
            <w:vAlign w:val="center"/>
          </w:tcPr>
          <w:p w14:paraId="7C6CDFD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40" w:type="dxa"/>
            <w:vMerge w:val="continue"/>
            <w:vAlign w:val="center"/>
          </w:tcPr>
          <w:p w14:paraId="49B921B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53" w:type="dxa"/>
            <w:gridSpan w:val="2"/>
            <w:vAlign w:val="center"/>
          </w:tcPr>
          <w:p w14:paraId="55EF60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   计</w:t>
            </w:r>
          </w:p>
        </w:tc>
        <w:tc>
          <w:tcPr>
            <w:tcW w:w="1669" w:type="dxa"/>
            <w:vAlign w:val="center"/>
          </w:tcPr>
          <w:p w14:paraId="574ABFA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9" w:type="dxa"/>
            <w:vAlign w:val="center"/>
          </w:tcPr>
          <w:p w14:paraId="6895E7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769" w:type="dxa"/>
            <w:vAlign w:val="center"/>
          </w:tcPr>
          <w:p w14:paraId="6714AB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1080</w:t>
            </w:r>
          </w:p>
        </w:tc>
        <w:tc>
          <w:tcPr>
            <w:tcW w:w="694" w:type="dxa"/>
            <w:vAlign w:val="center"/>
          </w:tcPr>
          <w:p w14:paraId="2E3DCF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637" w:type="dxa"/>
            <w:vAlign w:val="center"/>
          </w:tcPr>
          <w:p w14:paraId="506856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1080</w:t>
            </w:r>
          </w:p>
        </w:tc>
        <w:tc>
          <w:tcPr>
            <w:tcW w:w="526" w:type="dxa"/>
            <w:vAlign w:val="center"/>
          </w:tcPr>
          <w:p w14:paraId="422516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539" w:type="dxa"/>
            <w:vAlign w:val="center"/>
          </w:tcPr>
          <w:p w14:paraId="4DFE964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539" w:type="dxa"/>
            <w:vAlign w:val="center"/>
          </w:tcPr>
          <w:p w14:paraId="7295766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539" w:type="dxa"/>
            <w:vAlign w:val="center"/>
          </w:tcPr>
          <w:p w14:paraId="6B1DC8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539" w:type="dxa"/>
            <w:vAlign w:val="center"/>
          </w:tcPr>
          <w:p w14:paraId="781A96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w:t>
            </w:r>
          </w:p>
        </w:tc>
        <w:tc>
          <w:tcPr>
            <w:tcW w:w="539" w:type="dxa"/>
            <w:vAlign w:val="center"/>
          </w:tcPr>
          <w:p w14:paraId="71C43C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780</w:t>
            </w:r>
          </w:p>
        </w:tc>
        <w:tc>
          <w:tcPr>
            <w:tcW w:w="614" w:type="dxa"/>
            <w:vAlign w:val="center"/>
          </w:tcPr>
          <w:p w14:paraId="033AD51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300</w:t>
            </w:r>
          </w:p>
        </w:tc>
        <w:tc>
          <w:tcPr>
            <w:tcW w:w="606" w:type="dxa"/>
            <w:vAlign w:val="center"/>
          </w:tcPr>
          <w:p w14:paraId="14488A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57" w:type="dxa"/>
            <w:vAlign w:val="center"/>
          </w:tcPr>
          <w:p w14:paraId="15DDEF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D4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gridSpan w:val="2"/>
            <w:vMerge w:val="restart"/>
            <w:vAlign w:val="center"/>
          </w:tcPr>
          <w:p w14:paraId="52EC16B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450" w:type="dxa"/>
            <w:vAlign w:val="center"/>
          </w:tcPr>
          <w:p w14:paraId="0D2A44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03" w:type="dxa"/>
            <w:vAlign w:val="center"/>
          </w:tcPr>
          <w:p w14:paraId="30523D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669" w:type="dxa"/>
            <w:vAlign w:val="center"/>
          </w:tcPr>
          <w:p w14:paraId="46FCCAE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459" w:type="dxa"/>
            <w:vAlign w:val="center"/>
          </w:tcPr>
          <w:p w14:paraId="2A762D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769" w:type="dxa"/>
            <w:vAlign w:val="center"/>
          </w:tcPr>
          <w:p w14:paraId="15C2F9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4" w:type="dxa"/>
            <w:vAlign w:val="center"/>
          </w:tcPr>
          <w:p w14:paraId="13D6B2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37" w:type="dxa"/>
            <w:vAlign w:val="center"/>
          </w:tcPr>
          <w:p w14:paraId="0A80D6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6" w:type="dxa"/>
            <w:vAlign w:val="center"/>
          </w:tcPr>
          <w:p w14:paraId="2F6893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170178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1周</w:t>
            </w:r>
          </w:p>
        </w:tc>
        <w:tc>
          <w:tcPr>
            <w:tcW w:w="539" w:type="dxa"/>
            <w:vAlign w:val="center"/>
          </w:tcPr>
          <w:p w14:paraId="74C70E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39" w:type="dxa"/>
            <w:vAlign w:val="center"/>
          </w:tcPr>
          <w:p w14:paraId="656C0C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39" w:type="dxa"/>
            <w:vAlign w:val="center"/>
          </w:tcPr>
          <w:p w14:paraId="6E8F45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39" w:type="dxa"/>
            <w:vAlign w:val="center"/>
          </w:tcPr>
          <w:p w14:paraId="55EC0E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614" w:type="dxa"/>
            <w:vAlign w:val="center"/>
          </w:tcPr>
          <w:p w14:paraId="4B113AE0">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606" w:type="dxa"/>
            <w:vAlign w:val="center"/>
          </w:tcPr>
          <w:p w14:paraId="5BA3B847">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57" w:type="dxa"/>
            <w:vAlign w:val="center"/>
          </w:tcPr>
          <w:p w14:paraId="42D4497D">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AC2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gridSpan w:val="2"/>
            <w:vMerge w:val="continue"/>
            <w:vAlign w:val="center"/>
          </w:tcPr>
          <w:p w14:paraId="59F2419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Align w:val="center"/>
          </w:tcPr>
          <w:p w14:paraId="1BDCAC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03" w:type="dxa"/>
            <w:vAlign w:val="center"/>
          </w:tcPr>
          <w:p w14:paraId="3A0D12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669" w:type="dxa"/>
            <w:vAlign w:val="center"/>
          </w:tcPr>
          <w:p w14:paraId="5DFAC7D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p>
        </w:tc>
        <w:tc>
          <w:tcPr>
            <w:tcW w:w="459" w:type="dxa"/>
            <w:vAlign w:val="center"/>
          </w:tcPr>
          <w:p w14:paraId="05BADF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769" w:type="dxa"/>
            <w:vAlign w:val="center"/>
          </w:tcPr>
          <w:p w14:paraId="301D166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94" w:type="dxa"/>
            <w:vAlign w:val="center"/>
          </w:tcPr>
          <w:p w14:paraId="6DEE970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37" w:type="dxa"/>
            <w:vAlign w:val="center"/>
          </w:tcPr>
          <w:p w14:paraId="4C64E5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6" w:type="dxa"/>
            <w:vAlign w:val="center"/>
          </w:tcPr>
          <w:p w14:paraId="0AA3C5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39" w:type="dxa"/>
            <w:vAlign w:val="center"/>
          </w:tcPr>
          <w:p w14:paraId="33595BD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55B7FE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4292EB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14A68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33048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2F77345B">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6E573097">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57" w:type="dxa"/>
            <w:vAlign w:val="center"/>
          </w:tcPr>
          <w:p w14:paraId="3C8E0ED1">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F1F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3" w:type="dxa"/>
            <w:gridSpan w:val="4"/>
            <w:vAlign w:val="center"/>
          </w:tcPr>
          <w:p w14:paraId="71A485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1669" w:type="dxa"/>
            <w:vAlign w:val="center"/>
          </w:tcPr>
          <w:p w14:paraId="384743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9" w:type="dxa"/>
            <w:vAlign w:val="center"/>
          </w:tcPr>
          <w:p w14:paraId="298A39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color w:val="000000" w:themeColor="text1"/>
                <w:kern w:val="0"/>
                <w:sz w:val="18"/>
                <w:szCs w:val="18"/>
                <w14:textFill>
                  <w14:solidFill>
                    <w14:schemeClr w14:val="tx1"/>
                  </w14:solidFill>
                </w14:textFill>
              </w:rPr>
            </w:pPr>
          </w:p>
        </w:tc>
        <w:tc>
          <w:tcPr>
            <w:tcW w:w="769" w:type="dxa"/>
            <w:vAlign w:val="center"/>
          </w:tcPr>
          <w:p w14:paraId="519C28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2904</w:t>
            </w:r>
          </w:p>
        </w:tc>
        <w:tc>
          <w:tcPr>
            <w:tcW w:w="694" w:type="dxa"/>
            <w:vAlign w:val="center"/>
          </w:tcPr>
          <w:p w14:paraId="509565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1018</w:t>
            </w:r>
          </w:p>
        </w:tc>
        <w:tc>
          <w:tcPr>
            <w:tcW w:w="637" w:type="dxa"/>
            <w:vAlign w:val="center"/>
          </w:tcPr>
          <w:p w14:paraId="2EB92BB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1886</w:t>
            </w:r>
          </w:p>
        </w:tc>
        <w:tc>
          <w:tcPr>
            <w:tcW w:w="526" w:type="dxa"/>
            <w:vAlign w:val="center"/>
          </w:tcPr>
          <w:p w14:paraId="00E70A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539" w:type="dxa"/>
            <w:shd w:val="clear" w:color="auto" w:fill="auto"/>
            <w:vAlign w:val="center"/>
          </w:tcPr>
          <w:p w14:paraId="268C03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656</w:t>
            </w:r>
          </w:p>
        </w:tc>
        <w:tc>
          <w:tcPr>
            <w:tcW w:w="539" w:type="dxa"/>
            <w:vAlign w:val="center"/>
          </w:tcPr>
          <w:p w14:paraId="4A43DD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508</w:t>
            </w:r>
          </w:p>
        </w:tc>
        <w:tc>
          <w:tcPr>
            <w:tcW w:w="539" w:type="dxa"/>
            <w:vAlign w:val="center"/>
          </w:tcPr>
          <w:p w14:paraId="29D224F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539" w:type="dxa"/>
            <w:vAlign w:val="center"/>
          </w:tcPr>
          <w:p w14:paraId="1BFCD7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w:t>
            </w:r>
          </w:p>
        </w:tc>
        <w:tc>
          <w:tcPr>
            <w:tcW w:w="539" w:type="dxa"/>
            <w:vAlign w:val="center"/>
          </w:tcPr>
          <w:p w14:paraId="6F67EA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614" w:type="dxa"/>
            <w:vAlign w:val="center"/>
          </w:tcPr>
          <w:p w14:paraId="10111F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606" w:type="dxa"/>
            <w:vAlign w:val="center"/>
          </w:tcPr>
          <w:p w14:paraId="6F736C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57" w:type="dxa"/>
            <w:vAlign w:val="center"/>
          </w:tcPr>
          <w:p w14:paraId="0B94925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671ABA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olor w:val="000000"/>
          <w:sz w:val="21"/>
          <w:szCs w:val="21"/>
          <w:highlight w:val="none"/>
        </w:rPr>
      </w:pPr>
      <w:r>
        <w:rPr>
          <w:rFonts w:hint="eastAsia" w:ascii="Times New Roman" w:hAnsi="Times New Roman"/>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6B91DC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hAnsi="Times New Roman"/>
          <w:color w:val="000000"/>
          <w:sz w:val="21"/>
          <w:szCs w:val="21"/>
          <w:highlight w:val="none"/>
        </w:rPr>
      </w:pPr>
      <w:r>
        <w:rPr>
          <w:rFonts w:hint="eastAsia" w:ascii="Times New Roman" w:hAnsi="Times New Roman"/>
          <w:color w:val="000000"/>
          <w:sz w:val="21"/>
          <w:szCs w:val="21"/>
          <w:highlight w:val="none"/>
          <w:lang w:val="en-US" w:eastAsia="zh-CN"/>
        </w:rPr>
        <w:t>2</w:t>
      </w:r>
      <w:r>
        <w:rPr>
          <w:rFonts w:hint="eastAsia" w:ascii="Times New Roman" w:hAnsi="Times New Roman"/>
          <w:color w:val="000000"/>
          <w:sz w:val="21"/>
          <w:szCs w:val="21"/>
          <w:highlight w:val="none"/>
        </w:rPr>
        <w:t>.课程性质：公共必修课/公共选修课/专业必修课/专业选修课。</w:t>
      </w:r>
    </w:p>
    <w:p w14:paraId="08953F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hAnsi="Times New Roman"/>
          <w:color w:val="FF0000"/>
          <w:sz w:val="21"/>
          <w:szCs w:val="21"/>
          <w:highlight w:val="none"/>
        </w:rPr>
      </w:pPr>
      <w:r>
        <w:rPr>
          <w:rFonts w:hint="eastAsia" w:ascii="Times New Roman" w:hAnsi="Times New Roman"/>
          <w:color w:val="000000"/>
          <w:sz w:val="21"/>
          <w:szCs w:val="21"/>
          <w:highlight w:val="none"/>
          <w:lang w:val="en-US" w:eastAsia="zh-CN"/>
        </w:rPr>
        <w:t>3</w:t>
      </w:r>
      <w:r>
        <w:rPr>
          <w:rFonts w:hint="eastAsia" w:ascii="Times New Roman" w:hAnsi="Times New Roman"/>
          <w:color w:val="000000"/>
          <w:sz w:val="21"/>
          <w:szCs w:val="21"/>
          <w:highlight w:val="none"/>
        </w:rPr>
        <w:t>.课程类型：A类（纯理论课）/B类（（理论＋实践）课）/ C类（纯实践课）。</w:t>
      </w:r>
    </w:p>
    <w:p w14:paraId="27D09C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4</w:t>
      </w:r>
      <w:r>
        <w:rPr>
          <w:rFonts w:hint="eastAsia" w:ascii="Times New Roman" w:hAnsi="Times New Roman"/>
          <w:sz w:val="21"/>
          <w:szCs w:val="21"/>
          <w:highlight w:val="none"/>
        </w:rPr>
        <w:t>.实行多学期分段制的可以对该表进行适当改造,体现出多学期。</w:t>
      </w:r>
    </w:p>
    <w:p w14:paraId="3A3802EC">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default" w:ascii="Times New Roman" w:hAnsi="Times New Roman"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5</w:t>
      </w:r>
      <w:r>
        <w:rPr>
          <w:rFonts w:hint="eastAsia" w:ascii="Times New Roman" w:hAnsi="Times New Roman" w:eastAsia="宋体" w:cs="Times New Roman"/>
          <w:color w:val="000000"/>
          <w:kern w:val="2"/>
          <w:sz w:val="21"/>
          <w:szCs w:val="21"/>
          <w:highlight w:val="none"/>
          <w:lang w:val="en-US" w:eastAsia="zh-CN" w:bidi="ar-SA"/>
        </w:rPr>
        <w:t>.公共选修课从《公共选修课清单》中</w:t>
      </w:r>
      <w:r>
        <w:rPr>
          <w:rFonts w:hint="eastAsia" w:ascii="Times New Roman" w:hAnsi="Times New Roman" w:cs="Times New Roman"/>
          <w:color w:val="000000"/>
          <w:kern w:val="2"/>
          <w:sz w:val="21"/>
          <w:szCs w:val="21"/>
          <w:highlight w:val="none"/>
          <w:lang w:val="en-US" w:eastAsia="zh-CN" w:bidi="ar-SA"/>
        </w:rPr>
        <w:t>任选，不低于4门。</w:t>
      </w:r>
    </w:p>
    <w:p w14:paraId="11A0DEFB">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（四）教学学时分配表</w:t>
      </w:r>
    </w:p>
    <w:tbl>
      <w:tblPr>
        <w:tblStyle w:val="13"/>
        <w:tblW w:w="46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4"/>
        <w:gridCol w:w="3776"/>
        <w:gridCol w:w="1203"/>
        <w:gridCol w:w="1220"/>
      </w:tblGrid>
      <w:tr w14:paraId="4082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51" w:type="pct"/>
            <w:gridSpan w:val="2"/>
            <w:noWrap w:val="0"/>
            <w:vAlign w:val="center"/>
          </w:tcPr>
          <w:p w14:paraId="7470B1A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项目</w:t>
            </w:r>
          </w:p>
        </w:tc>
        <w:tc>
          <w:tcPr>
            <w:tcW w:w="719" w:type="pct"/>
            <w:noWrap w:val="0"/>
            <w:vAlign w:val="center"/>
          </w:tcPr>
          <w:p w14:paraId="4708B5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学时数</w:t>
            </w:r>
          </w:p>
        </w:tc>
        <w:tc>
          <w:tcPr>
            <w:tcW w:w="729" w:type="pct"/>
            <w:noWrap w:val="0"/>
            <w:vAlign w:val="center"/>
          </w:tcPr>
          <w:p w14:paraId="5DD852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百分比</w:t>
            </w:r>
          </w:p>
        </w:tc>
      </w:tr>
      <w:tr w14:paraId="336F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3179F2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r>
              <w:rPr>
                <w:rFonts w:hint="eastAsia" w:ascii="Times New Roman" w:hAnsi="Times New Roman" w:eastAsia="宋体" w:cs="宋体"/>
                <w:kern w:val="2"/>
                <w:sz w:val="18"/>
                <w:szCs w:val="18"/>
                <w:lang w:val="en-US" w:bidi="ar-SA"/>
              </w:rPr>
              <w:t>理论教学学时分配</w:t>
            </w:r>
          </w:p>
        </w:tc>
        <w:tc>
          <w:tcPr>
            <w:tcW w:w="2256" w:type="pct"/>
            <w:noWrap w:val="0"/>
            <w:vAlign w:val="center"/>
          </w:tcPr>
          <w:p w14:paraId="38EE439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公共基础课中的理论教学学时</w:t>
            </w:r>
          </w:p>
        </w:tc>
        <w:tc>
          <w:tcPr>
            <w:tcW w:w="1203" w:type="dxa"/>
            <w:noWrap w:val="0"/>
            <w:vAlign w:val="center"/>
          </w:tcPr>
          <w:p w14:paraId="6EE5B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602</w:t>
            </w:r>
          </w:p>
        </w:tc>
        <w:tc>
          <w:tcPr>
            <w:tcW w:w="1220" w:type="dxa"/>
            <w:noWrap w:val="0"/>
            <w:vAlign w:val="center"/>
          </w:tcPr>
          <w:p w14:paraId="10B1CA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20.73%</w:t>
            </w:r>
          </w:p>
        </w:tc>
      </w:tr>
      <w:tr w14:paraId="57F9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43532BC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114479E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专业技能课中的理论教学学时</w:t>
            </w:r>
          </w:p>
        </w:tc>
        <w:tc>
          <w:tcPr>
            <w:tcW w:w="1203" w:type="dxa"/>
            <w:noWrap w:val="0"/>
            <w:vAlign w:val="center"/>
          </w:tcPr>
          <w:p w14:paraId="23CFAC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w:t>
            </w:r>
          </w:p>
        </w:tc>
        <w:tc>
          <w:tcPr>
            <w:tcW w:w="1220" w:type="dxa"/>
            <w:noWrap w:val="0"/>
            <w:vAlign w:val="center"/>
          </w:tcPr>
          <w:p w14:paraId="551EB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10.47%</w:t>
            </w:r>
          </w:p>
        </w:tc>
      </w:tr>
      <w:tr w14:paraId="77AFA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6448050D">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5C44686B">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其他</w:t>
            </w:r>
          </w:p>
        </w:tc>
        <w:tc>
          <w:tcPr>
            <w:tcW w:w="1203" w:type="dxa"/>
            <w:noWrap w:val="0"/>
            <w:vAlign w:val="center"/>
          </w:tcPr>
          <w:p w14:paraId="33A7C3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220" w:type="dxa"/>
            <w:noWrap w:val="0"/>
            <w:vAlign w:val="center"/>
          </w:tcPr>
          <w:p w14:paraId="3C5E7F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3.86%</w:t>
            </w:r>
          </w:p>
        </w:tc>
      </w:tr>
      <w:tr w14:paraId="64C3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66DAB55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459B5279">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Times New Roman" w:hAnsi="Times New Roman" w:cs="宋体"/>
                <w:sz w:val="18"/>
                <w:szCs w:val="18"/>
              </w:rPr>
            </w:pPr>
            <w:r>
              <w:rPr>
                <w:rFonts w:hint="eastAsia" w:ascii="Times New Roman" w:hAnsi="Times New Roman" w:cs="宋体"/>
                <w:sz w:val="18"/>
                <w:szCs w:val="18"/>
              </w:rPr>
              <w:t>合计</w:t>
            </w:r>
          </w:p>
        </w:tc>
        <w:tc>
          <w:tcPr>
            <w:tcW w:w="1203" w:type="dxa"/>
            <w:noWrap w:val="0"/>
            <w:vAlign w:val="center"/>
          </w:tcPr>
          <w:p w14:paraId="65EEFC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1018</w:t>
            </w:r>
          </w:p>
        </w:tc>
        <w:tc>
          <w:tcPr>
            <w:tcW w:w="1220" w:type="dxa"/>
            <w:noWrap w:val="0"/>
            <w:vAlign w:val="center"/>
          </w:tcPr>
          <w:p w14:paraId="0439C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35.06%</w:t>
            </w:r>
          </w:p>
        </w:tc>
      </w:tr>
      <w:tr w14:paraId="32CB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294" w:type="pct"/>
            <w:vMerge w:val="restart"/>
            <w:noWrap w:val="0"/>
            <w:vAlign w:val="center"/>
          </w:tcPr>
          <w:p w14:paraId="49A7E16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r>
              <w:rPr>
                <w:rFonts w:hint="eastAsia" w:ascii="Times New Roman" w:hAnsi="Times New Roman" w:eastAsia="宋体" w:cs="宋体"/>
                <w:kern w:val="2"/>
                <w:sz w:val="18"/>
                <w:szCs w:val="18"/>
                <w:lang w:val="en-US" w:bidi="ar-SA"/>
              </w:rPr>
              <w:t>实践教学学时分配</w:t>
            </w:r>
          </w:p>
        </w:tc>
        <w:tc>
          <w:tcPr>
            <w:tcW w:w="2256" w:type="pct"/>
            <w:noWrap w:val="0"/>
            <w:vAlign w:val="center"/>
          </w:tcPr>
          <w:p w14:paraId="3C021D0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公共基础课中的实践教学学时</w:t>
            </w:r>
          </w:p>
        </w:tc>
        <w:tc>
          <w:tcPr>
            <w:tcW w:w="1203" w:type="dxa"/>
            <w:noWrap w:val="0"/>
            <w:vAlign w:val="center"/>
          </w:tcPr>
          <w:p w14:paraId="2B604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220" w:type="dxa"/>
            <w:noWrap w:val="0"/>
            <w:vAlign w:val="center"/>
          </w:tcPr>
          <w:p w14:paraId="31B64B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13.43%</w:t>
            </w:r>
          </w:p>
        </w:tc>
      </w:tr>
      <w:tr w14:paraId="51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07D64EA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Times New Roman" w:hAnsi="Times New Roman" w:cs="宋体"/>
                <w:sz w:val="18"/>
                <w:szCs w:val="18"/>
              </w:rPr>
            </w:pPr>
          </w:p>
        </w:tc>
        <w:tc>
          <w:tcPr>
            <w:tcW w:w="2256" w:type="pct"/>
            <w:noWrap w:val="0"/>
            <w:vAlign w:val="center"/>
          </w:tcPr>
          <w:p w14:paraId="5319B6BC">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专业技能课程中的实践教学学时</w:t>
            </w:r>
          </w:p>
        </w:tc>
        <w:tc>
          <w:tcPr>
            <w:tcW w:w="1203" w:type="dxa"/>
            <w:noWrap w:val="0"/>
            <w:vAlign w:val="center"/>
          </w:tcPr>
          <w:p w14:paraId="05D6E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w:t>
            </w:r>
          </w:p>
        </w:tc>
        <w:tc>
          <w:tcPr>
            <w:tcW w:w="1220" w:type="dxa"/>
            <w:noWrap w:val="0"/>
            <w:vAlign w:val="center"/>
          </w:tcPr>
          <w:p w14:paraId="3AC53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10.47%</w:t>
            </w:r>
          </w:p>
        </w:tc>
      </w:tr>
      <w:tr w14:paraId="1DB31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33DCBBF9">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Times New Roman" w:hAnsi="Times New Roman" w:cs="宋体"/>
                <w:sz w:val="18"/>
                <w:szCs w:val="18"/>
              </w:rPr>
            </w:pPr>
          </w:p>
        </w:tc>
        <w:tc>
          <w:tcPr>
            <w:tcW w:w="2256" w:type="pct"/>
            <w:noWrap w:val="0"/>
            <w:vAlign w:val="center"/>
          </w:tcPr>
          <w:p w14:paraId="44C9E1FC">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cs="宋体"/>
                <w:sz w:val="18"/>
                <w:szCs w:val="18"/>
                <w:lang w:val="en-US" w:eastAsia="zh-CN"/>
              </w:rPr>
              <w:t>其它</w:t>
            </w:r>
          </w:p>
        </w:tc>
        <w:tc>
          <w:tcPr>
            <w:tcW w:w="1203" w:type="dxa"/>
            <w:noWrap w:val="0"/>
            <w:vAlign w:val="center"/>
          </w:tcPr>
          <w:p w14:paraId="333DC9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1192</w:t>
            </w:r>
          </w:p>
        </w:tc>
        <w:tc>
          <w:tcPr>
            <w:tcW w:w="1220" w:type="dxa"/>
            <w:noWrap w:val="0"/>
            <w:vAlign w:val="center"/>
          </w:tcPr>
          <w:p w14:paraId="2583D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41.05%</w:t>
            </w:r>
          </w:p>
        </w:tc>
      </w:tr>
      <w:tr w14:paraId="79E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73120884">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Times New Roman" w:hAnsi="Times New Roman" w:cs="宋体"/>
                <w:sz w:val="18"/>
                <w:szCs w:val="18"/>
              </w:rPr>
            </w:pPr>
          </w:p>
        </w:tc>
        <w:tc>
          <w:tcPr>
            <w:tcW w:w="2256" w:type="pct"/>
            <w:noWrap w:val="0"/>
            <w:vAlign w:val="center"/>
          </w:tcPr>
          <w:p w14:paraId="09D8491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Times New Roman" w:hAnsi="Times New Roman" w:cs="宋体"/>
                <w:sz w:val="18"/>
                <w:szCs w:val="18"/>
              </w:rPr>
            </w:pPr>
            <w:r>
              <w:rPr>
                <w:rFonts w:hint="eastAsia" w:ascii="Times New Roman" w:hAnsi="Times New Roman" w:cs="宋体"/>
                <w:sz w:val="18"/>
                <w:szCs w:val="18"/>
              </w:rPr>
              <w:t>合计</w:t>
            </w:r>
          </w:p>
        </w:tc>
        <w:tc>
          <w:tcPr>
            <w:tcW w:w="1203" w:type="dxa"/>
            <w:noWrap w:val="0"/>
            <w:vAlign w:val="center"/>
          </w:tcPr>
          <w:p w14:paraId="1E2791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1886</w:t>
            </w:r>
          </w:p>
        </w:tc>
        <w:tc>
          <w:tcPr>
            <w:tcW w:w="1220" w:type="dxa"/>
            <w:noWrap w:val="0"/>
            <w:vAlign w:val="center"/>
          </w:tcPr>
          <w:p w14:paraId="1AF899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64.94%</w:t>
            </w:r>
          </w:p>
        </w:tc>
      </w:tr>
      <w:tr w14:paraId="7EE2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C9209F4">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r>
              <w:rPr>
                <w:rFonts w:hint="eastAsia" w:ascii="Times New Roman" w:hAnsi="Times New Roman" w:eastAsia="宋体" w:cs="宋体"/>
                <w:kern w:val="2"/>
                <w:sz w:val="18"/>
                <w:szCs w:val="18"/>
                <w:lang w:val="en-US" w:bidi="ar-SA"/>
              </w:rPr>
              <w:t>选修课程学时分配</w:t>
            </w:r>
          </w:p>
        </w:tc>
        <w:tc>
          <w:tcPr>
            <w:tcW w:w="2256" w:type="pct"/>
            <w:noWrap w:val="0"/>
            <w:vAlign w:val="center"/>
          </w:tcPr>
          <w:p w14:paraId="3621D6EB">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公共基础限选修课程学时</w:t>
            </w:r>
          </w:p>
        </w:tc>
        <w:tc>
          <w:tcPr>
            <w:tcW w:w="1203" w:type="dxa"/>
            <w:noWrap w:val="0"/>
            <w:vAlign w:val="center"/>
          </w:tcPr>
          <w:p w14:paraId="1FC5C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220" w:type="dxa"/>
            <w:noWrap w:val="0"/>
            <w:vAlign w:val="center"/>
          </w:tcPr>
          <w:p w14:paraId="15E028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r>
      <w:tr w14:paraId="590A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294" w:type="pct"/>
            <w:vMerge w:val="continue"/>
            <w:noWrap w:val="0"/>
            <w:vAlign w:val="center"/>
          </w:tcPr>
          <w:p w14:paraId="0425BE6B">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22CA2716">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公共基础</w:t>
            </w:r>
            <w:r>
              <w:rPr>
                <w:rFonts w:hint="eastAsia" w:ascii="Times New Roman" w:hAnsi="Times New Roman" w:cs="宋体"/>
                <w:sz w:val="18"/>
                <w:szCs w:val="18"/>
                <w:lang w:val="en-US" w:eastAsia="zh-CN"/>
              </w:rPr>
              <w:t>任</w:t>
            </w:r>
            <w:r>
              <w:rPr>
                <w:rFonts w:hint="eastAsia" w:ascii="Times New Roman" w:hAnsi="Times New Roman" w:cs="宋体"/>
                <w:sz w:val="18"/>
                <w:szCs w:val="18"/>
              </w:rPr>
              <w:t>选课程学时</w:t>
            </w:r>
          </w:p>
        </w:tc>
        <w:tc>
          <w:tcPr>
            <w:tcW w:w="1203" w:type="dxa"/>
            <w:noWrap w:val="0"/>
            <w:vAlign w:val="center"/>
          </w:tcPr>
          <w:p w14:paraId="1891AF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220" w:type="dxa"/>
            <w:noWrap w:val="0"/>
            <w:vAlign w:val="center"/>
          </w:tcPr>
          <w:p w14:paraId="4ED9AB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r>
      <w:tr w14:paraId="1730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29B904CF">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2AD573F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专业拓展（限选）课程学时</w:t>
            </w:r>
          </w:p>
        </w:tc>
        <w:tc>
          <w:tcPr>
            <w:tcW w:w="1203" w:type="dxa"/>
            <w:noWrap w:val="0"/>
            <w:vAlign w:val="center"/>
          </w:tcPr>
          <w:p w14:paraId="29987F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1220" w:type="dxa"/>
            <w:noWrap w:val="0"/>
            <w:vAlign w:val="center"/>
          </w:tcPr>
          <w:p w14:paraId="2F3661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7.71%</w:t>
            </w:r>
          </w:p>
        </w:tc>
      </w:tr>
      <w:tr w14:paraId="5B10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2786C193">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1C220AC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Times New Roman" w:hAnsi="Times New Roman" w:cs="宋体"/>
                <w:sz w:val="18"/>
                <w:szCs w:val="18"/>
              </w:rPr>
            </w:pPr>
            <w:r>
              <w:rPr>
                <w:rFonts w:hint="eastAsia" w:ascii="Times New Roman" w:hAnsi="Times New Roman" w:cs="宋体"/>
                <w:sz w:val="18"/>
                <w:szCs w:val="18"/>
              </w:rPr>
              <w:t>合计</w:t>
            </w:r>
          </w:p>
        </w:tc>
        <w:tc>
          <w:tcPr>
            <w:tcW w:w="1203" w:type="dxa"/>
            <w:noWrap w:val="0"/>
            <w:vAlign w:val="center"/>
          </w:tcPr>
          <w:p w14:paraId="467C81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352</w:t>
            </w:r>
          </w:p>
        </w:tc>
        <w:tc>
          <w:tcPr>
            <w:tcW w:w="1220" w:type="dxa"/>
            <w:noWrap w:val="0"/>
            <w:vAlign w:val="center"/>
          </w:tcPr>
          <w:p w14:paraId="78F3B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12.12%</w:t>
            </w:r>
          </w:p>
        </w:tc>
      </w:tr>
      <w:tr w14:paraId="3A8C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551" w:type="pct"/>
            <w:gridSpan w:val="2"/>
            <w:tcBorders>
              <w:right w:val="single" w:color="auto" w:sz="4" w:space="0"/>
            </w:tcBorders>
            <w:noWrap w:val="0"/>
            <w:vAlign w:val="center"/>
          </w:tcPr>
          <w:p w14:paraId="06F2D5D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Times New Roman" w:hAnsi="Times New Roman" w:eastAsia="宋体" w:cs="宋体"/>
                <w:sz w:val="18"/>
                <w:szCs w:val="18"/>
                <w:lang w:eastAsia="zh-CN"/>
              </w:rPr>
            </w:pPr>
            <w:r>
              <w:rPr>
                <w:rFonts w:hint="eastAsia" w:ascii="Times New Roman" w:hAnsi="Times New Roman" w:cs="宋体"/>
                <w:sz w:val="18"/>
                <w:szCs w:val="18"/>
                <w:lang w:val="en-US" w:eastAsia="zh-CN"/>
              </w:rPr>
              <w:t>总学时</w:t>
            </w:r>
          </w:p>
        </w:tc>
        <w:tc>
          <w:tcPr>
            <w:tcW w:w="2423" w:type="dxa"/>
            <w:gridSpan w:val="2"/>
            <w:noWrap w:val="0"/>
            <w:vAlign w:val="center"/>
          </w:tcPr>
          <w:p w14:paraId="3E8A75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2904</w:t>
            </w:r>
          </w:p>
        </w:tc>
      </w:tr>
    </w:tbl>
    <w:p w14:paraId="488334C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（五）公共选修课清单</w:t>
      </w:r>
    </w:p>
    <w:p w14:paraId="5AB60FC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20"/>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66A55A9C">
        <w:tblPrEx>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69ACD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5A73C6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eastAsia="en-US"/>
              </w:rPr>
            </w:pPr>
            <w:r>
              <w:rPr>
                <w:rFonts w:hint="eastAsia" w:ascii="Times New Roman" w:hAnsi="Times New Roman"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44A0FB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eastAsia="en-US"/>
              </w:rPr>
            </w:pPr>
            <w:r>
              <w:rPr>
                <w:rFonts w:hint="eastAsia" w:ascii="Times New Roman" w:hAnsi="Times New Roman"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B9F1E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eastAsia="en-US"/>
              </w:rPr>
            </w:pPr>
            <w:r>
              <w:rPr>
                <w:rFonts w:hint="eastAsia" w:ascii="Times New Roman" w:hAnsi="Times New Roman"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2FA026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备注</w:t>
            </w:r>
          </w:p>
        </w:tc>
      </w:tr>
      <w:tr w14:paraId="74AAF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865C0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E9BA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5D81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BB7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4F8A3D6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Times New Roman" w:hAnsi="Times New Roman" w:eastAsia="宋体" w:cs="宋体"/>
                <w:sz w:val="18"/>
                <w:szCs w:val="18"/>
                <w:lang w:val="zh-CN" w:eastAsia="en-US"/>
              </w:rPr>
            </w:pPr>
            <w:r>
              <w:rPr>
                <w:rFonts w:hint="eastAsia" w:ascii="Times New Roman" w:hAnsi="Times New Roman" w:eastAsia="宋体" w:cs="宋体"/>
                <w:color w:val="auto"/>
                <w:sz w:val="18"/>
                <w:szCs w:val="18"/>
                <w:highlight w:val="none"/>
                <w:lang w:val="en-US" w:eastAsia="zh-CN"/>
              </w:rPr>
              <w:t>8门课程任选2门</w:t>
            </w:r>
          </w:p>
        </w:tc>
      </w:tr>
      <w:tr w14:paraId="57C1A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278CE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9783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91BB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8E8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8DE56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0DFE7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36F6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98D4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DC0B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C82B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85A0E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4B22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73E2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938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21920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6EE5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95002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7741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D2AC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DF67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EB1F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8A32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D57C1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56AF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1333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3F10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65D1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FCBC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0B0A6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3A6D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B645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5106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EFBF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AC09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F5E11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4638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63F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5888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E8AF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0CE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1DCBD6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09016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8215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B24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5404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F4AB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5E2DD35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r>
              <w:rPr>
                <w:rFonts w:hint="eastAsia" w:ascii="Times New Roman" w:hAnsi="Times New Roman" w:eastAsia="宋体" w:cs="宋体"/>
                <w:color w:val="auto"/>
                <w:sz w:val="18"/>
                <w:szCs w:val="18"/>
                <w:highlight w:val="none"/>
                <w:lang w:val="en-US" w:eastAsia="zh-CN"/>
              </w:rPr>
              <w:t>任选2门</w:t>
            </w:r>
          </w:p>
          <w:p w14:paraId="36F07B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r>
              <w:rPr>
                <w:rFonts w:hint="eastAsia" w:ascii="Times New Roman" w:hAnsi="Times New Roman" w:eastAsia="宋体" w:cs="宋体"/>
                <w:color w:val="auto"/>
                <w:sz w:val="18"/>
                <w:szCs w:val="18"/>
                <w:highlight w:val="none"/>
                <w:lang w:val="en-US" w:eastAsia="zh-CN"/>
              </w:rPr>
              <w:t>在线学习</w:t>
            </w:r>
          </w:p>
        </w:tc>
      </w:tr>
      <w:tr w14:paraId="7D711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1775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26B2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6833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2BDE5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0111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3183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B0A8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6863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A6684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F69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DE781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0FB7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9B5E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FF14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A56B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E67D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E83A1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1747D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F672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FB77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C188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B5E8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66F5F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2A1CF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1D12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D2DD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080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A89D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1CAA79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1EC1C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E462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573A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2509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F7ABA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432865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78925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BA18B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58B79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73D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07A7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17CAE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42542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7FDE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B19A4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C436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6BC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837DA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061CB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ECD2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1549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1FD6D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06D6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28BFD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p>
        </w:tc>
      </w:tr>
      <w:tr w14:paraId="10A25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1A5B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DB0A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7D11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7048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02CC2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p>
        </w:tc>
      </w:tr>
      <w:tr w14:paraId="30A8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6B19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8443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9A1D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A28D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1F4ACD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p>
        </w:tc>
      </w:tr>
      <w:tr w14:paraId="3E3F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B1CC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FBC1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4BDB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0C2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98920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p>
        </w:tc>
      </w:tr>
      <w:tr w14:paraId="75AB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735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00858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312D2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43943C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044579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76117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611A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42F3D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CFAE69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059B6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E8D0F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0A4F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103A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3751E2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5BC85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13C0F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05C0C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6DDD8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E42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AE6EC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0E8CA69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E4D68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611788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3B94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B9CB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616F56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20EA54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DD9E8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3BF4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2793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3415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BFA86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BA85D2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1BBFD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492EAB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6C0B6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37DA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4FC550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FB7C6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7F15F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321E1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7862A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B476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A1901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242D0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772BF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A75C7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64693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D681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CC683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51B7A9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71403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158BB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5BD50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D518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60120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7A1AA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374A0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17525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3B51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BB7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52E97C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27DEE6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63904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D2B01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3074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003F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C649B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5BC4B8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3584E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44D4A4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p>
        </w:tc>
      </w:tr>
    </w:tbl>
    <w:p w14:paraId="24D00D7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w:t>
      </w:r>
      <w:r>
        <w:rPr>
          <w:rFonts w:hint="eastAsia" w:ascii="Times New Roman" w:hAnsi="Times New Roman" w:cs="Times New Roman"/>
          <w:b/>
          <w:kern w:val="2"/>
          <w:sz w:val="24"/>
          <w:szCs w:val="24"/>
          <w:lang w:val="en-US" w:eastAsia="zh-CN" w:bidi="ar-SA"/>
        </w:rPr>
        <w:t>质量保障和</w:t>
      </w:r>
      <w:r>
        <w:rPr>
          <w:rFonts w:hint="eastAsia" w:ascii="Times New Roman" w:hAnsi="Times New Roman" w:eastAsia="宋体" w:cs="Times New Roman"/>
          <w:b/>
          <w:kern w:val="2"/>
          <w:sz w:val="24"/>
          <w:szCs w:val="24"/>
          <w:lang w:val="en-US" w:eastAsia="zh-CN" w:bidi="ar-SA"/>
        </w:rPr>
        <w:t>毕业要求</w:t>
      </w:r>
    </w:p>
    <w:p w14:paraId="5A0DF86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主要包括师资队伍、教学设施、教学资源、教学方法、学习评价、质量管理等方面。</w:t>
      </w:r>
    </w:p>
    <w:p w14:paraId="74D069D2">
      <w:pPr>
        <w:pStyle w:val="3"/>
        <w:bidi w:val="0"/>
        <w:rPr>
          <w:rFonts w:hint="eastAsia"/>
          <w:lang w:val="en-US" w:eastAsia="zh-CN"/>
        </w:rPr>
      </w:pPr>
      <w:bookmarkStart w:id="28" w:name="_Toc14624"/>
      <w:bookmarkStart w:id="29" w:name="_Toc10563"/>
      <w:r>
        <w:rPr>
          <w:rFonts w:hint="eastAsia"/>
          <w:lang w:val="en-US" w:eastAsia="zh-CN"/>
        </w:rPr>
        <w:t>（一）师资队伍</w:t>
      </w:r>
      <w:bookmarkEnd w:id="28"/>
      <w:bookmarkEnd w:id="29"/>
    </w:p>
    <w:p w14:paraId="6896118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00409D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color w:val="0000FF"/>
          <w:kern w:val="2"/>
          <w:sz w:val="21"/>
          <w:szCs w:val="21"/>
          <w:lang w:val="en-US" w:eastAsia="zh-CN" w:bidi="ar-SA"/>
        </w:rPr>
      </w:pPr>
      <w:r>
        <w:rPr>
          <w:rFonts w:hint="eastAsia" w:ascii="Times New Roman" w:hAnsi="Times New Roman" w:eastAsia="宋体" w:cs="宋体"/>
          <w:b/>
          <w:bCs/>
          <w:kern w:val="2"/>
          <w:sz w:val="21"/>
          <w:szCs w:val="21"/>
          <w:lang w:val="en-US" w:eastAsia="zh-CN" w:bidi="ar-SA"/>
        </w:rPr>
        <w:t>1.队伍结构</w:t>
      </w:r>
    </w:p>
    <w:p w14:paraId="4C9E87C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bookmarkStart w:id="30" w:name="_Toc18436"/>
      <w:bookmarkStart w:id="31" w:name="_Toc32234"/>
      <w:r>
        <w:rPr>
          <w:rFonts w:hint="eastAsia" w:ascii="Times New Roman" w:hAnsi="Times New Roman" w:eastAsia="宋体" w:cs="Times New Roman"/>
          <w:sz w:val="21"/>
          <w:szCs w:val="21"/>
          <w:lang w:val="en-US" w:eastAsia="zh-CN"/>
        </w:rPr>
        <w:t>规模配置：本专业共配备23名专任教师，师生比达1:16标准线。</w:t>
      </w:r>
    </w:p>
    <w:p w14:paraId="45812FB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双师素质：专业课教师中"双师型"教师占比提升至70%（共16名），所有双师型教师均具备3年以上企业实战经验。</w:t>
      </w:r>
    </w:p>
    <w:p w14:paraId="1108063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职称结构：团队中高级职称教师共6人，占总数26.1%；中级职称教师10人（占比43.5%），与青年骨干教师7人（占比30.4%）形成梯队支撑。</w:t>
      </w:r>
    </w:p>
    <w:p w14:paraId="257F206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年龄分布：团队年龄梯度合理，35岁以下青年教师13人，36-45岁中坚力量6人，46岁以上资深教师4人。</w:t>
      </w:r>
    </w:p>
    <w:p w14:paraId="7384544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校企协同：同步配置5名企业行业导师（含云计算架构师、网络安全总监等高级技术人才），与校内教师组建"双轨教学团队"，实际综合师生比达1:13的优质水平。</w:t>
      </w:r>
    </w:p>
    <w:p w14:paraId="623756F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动态机制：建立"按生源扩容"机制（每增16名学生增配1名教师），并实施"双师蓄水池计划"，校企联合培养5名储备教师应对技术迭代。</w:t>
      </w:r>
    </w:p>
    <w:p w14:paraId="04FE74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2.专任教师</w:t>
      </w:r>
    </w:p>
    <w:p w14:paraId="49FCA9C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（1）具备</w:t>
      </w:r>
      <w:r>
        <w:rPr>
          <w:rFonts w:hint="eastAsia" w:ascii="Times New Roman" w:hAnsi="Times New Roman"/>
          <w:sz w:val="21"/>
          <w:szCs w:val="21"/>
          <w:lang w:val="en-US" w:eastAsia="zh-CN"/>
        </w:rPr>
        <w:t>大数据技术</w:t>
      </w:r>
      <w:r>
        <w:rPr>
          <w:rFonts w:hint="eastAsia" w:ascii="Times New Roman" w:hAnsi="Times New Roman"/>
          <w:sz w:val="21"/>
          <w:szCs w:val="21"/>
        </w:rPr>
        <w:t>专业或相关专业本科及以上学历，通过培训获得教师职业资格证书，具备教学能力，有较强的组织协调能力</w:t>
      </w:r>
      <w:r>
        <w:rPr>
          <w:rFonts w:hint="eastAsia" w:ascii="Times New Roman" w:hAnsi="Times New Roman"/>
          <w:sz w:val="21"/>
          <w:szCs w:val="21"/>
          <w:lang w:eastAsia="zh-CN"/>
        </w:rPr>
        <w:t>；</w:t>
      </w:r>
    </w:p>
    <w:p w14:paraId="5C8035A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（2）具有良好的思想品德修养，遵守职业道德，为人师表，关爱学生</w:t>
      </w:r>
      <w:r>
        <w:rPr>
          <w:rFonts w:hint="eastAsia" w:ascii="Times New Roman" w:hAnsi="Times New Roman"/>
          <w:sz w:val="21"/>
          <w:szCs w:val="21"/>
          <w:lang w:eastAsia="zh-CN"/>
        </w:rPr>
        <w:t>；</w:t>
      </w:r>
    </w:p>
    <w:p w14:paraId="0294D43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（3）具有扎实的专业基础和实践能力，有一定的职业技术教育、生产实践经验和专业技能，具备专业领域的独立研究和技术开发能力</w:t>
      </w:r>
      <w:r>
        <w:rPr>
          <w:rFonts w:hint="eastAsia" w:ascii="Times New Roman" w:hAnsi="Times New Roman"/>
          <w:sz w:val="21"/>
          <w:szCs w:val="21"/>
          <w:lang w:eastAsia="zh-CN"/>
        </w:rPr>
        <w:t>；</w:t>
      </w:r>
    </w:p>
    <w:p w14:paraId="74DD032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（4）具备一定的课程开发和专业研究能力，能遵循职业教育教学规律，正确分析、设计、实施及评价课程</w:t>
      </w:r>
      <w:r>
        <w:rPr>
          <w:rFonts w:hint="eastAsia" w:ascii="Times New Roman" w:hAnsi="Times New Roman"/>
          <w:sz w:val="21"/>
          <w:szCs w:val="21"/>
          <w:lang w:eastAsia="zh-CN"/>
        </w:rPr>
        <w:t>；</w:t>
      </w:r>
    </w:p>
    <w:p w14:paraId="74472BB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（5）具备</w:t>
      </w:r>
      <w:r>
        <w:rPr>
          <w:rFonts w:hint="eastAsia" w:ascii="Times New Roman" w:hAnsi="Times New Roman"/>
          <w:sz w:val="21"/>
          <w:szCs w:val="21"/>
          <w:lang w:val="en-US" w:eastAsia="zh-CN"/>
        </w:rPr>
        <w:t>大数据技术</w:t>
      </w:r>
      <w:r>
        <w:rPr>
          <w:rFonts w:hint="eastAsia" w:ascii="Times New Roman" w:hAnsi="Times New Roman"/>
          <w:sz w:val="21"/>
          <w:szCs w:val="21"/>
        </w:rPr>
        <w:t>相关职业资格证书或相关企业技术工作经历，具有双师素质</w:t>
      </w:r>
      <w:r>
        <w:rPr>
          <w:rFonts w:hint="eastAsia" w:ascii="Times New Roman" w:hAnsi="Times New Roman"/>
          <w:sz w:val="21"/>
          <w:szCs w:val="21"/>
          <w:lang w:eastAsia="zh-CN"/>
        </w:rPr>
        <w:t>；</w:t>
      </w:r>
    </w:p>
    <w:p w14:paraId="7BF96F6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（6）能独立承担1-2门专业课程，独立指导一门实训课程</w:t>
      </w:r>
      <w:r>
        <w:rPr>
          <w:rFonts w:hint="eastAsia" w:ascii="Times New Roman" w:hAnsi="Times New Roman"/>
          <w:sz w:val="21"/>
          <w:szCs w:val="21"/>
          <w:lang w:eastAsia="zh-CN"/>
        </w:rPr>
        <w:t>；</w:t>
      </w:r>
    </w:p>
    <w:p w14:paraId="4022280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（7）具有指导学生参加专业领域的创新和技能大赛的能力</w:t>
      </w:r>
      <w:r>
        <w:rPr>
          <w:rFonts w:hint="eastAsia" w:ascii="Times New Roman" w:hAnsi="Times New Roman"/>
          <w:sz w:val="21"/>
          <w:szCs w:val="21"/>
          <w:lang w:eastAsia="zh-CN"/>
        </w:rPr>
        <w:t>；</w:t>
      </w:r>
    </w:p>
    <w:p w14:paraId="457BA0A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（8）具备每5年累计不少于6个月的企业实践经历，以丰富自身的实践经验并为学生提供更加贴近实际的教学指导。</w:t>
      </w:r>
    </w:p>
    <w:p w14:paraId="07A2AB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3.专业带头人</w:t>
      </w:r>
    </w:p>
    <w:p w14:paraId="5A07BDA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（1）坚持四项基本原则，热爱社会主义祖国，坚持社会主义办学方向，具有良好的职业道德，遵纪守法；</w:t>
      </w:r>
    </w:p>
    <w:p w14:paraId="6B4ADFF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（2）具有较高的专业教学水平，是本专业公认的骨干教师，在指导青年教师提高教学水平方面取得较好成效，在学院组织的各种教学评价中达到中等以上水平；</w:t>
      </w:r>
    </w:p>
    <w:p w14:paraId="1385637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（3）具有较高学术水平和较强科研能力，有专业相关的发明专利、论文或市级以上科技奖项，是本专业公认的业务骨干；</w:t>
      </w:r>
    </w:p>
    <w:p w14:paraId="62A616D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（4）能有效指导专业建设，熟悉本专业国内外发展动态，对专业建设有一定研究，能对专业建设提出有价值的意见和建议，具有一定的组织管理能力；</w:t>
      </w:r>
    </w:p>
    <w:p w14:paraId="01911E0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（5）具有中级以上的专业技术职称或技师以上职业技能水平，并具有一年以上高校教学经历。</w:t>
      </w:r>
    </w:p>
    <w:p w14:paraId="798A58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4.兼职教师</w:t>
      </w:r>
    </w:p>
    <w:p w14:paraId="1D662BE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（1）具有较长时间的企业专职技术工作经历，熟悉行业企业情况，有较强的实践能力</w:t>
      </w:r>
      <w:r>
        <w:rPr>
          <w:rFonts w:hint="eastAsia" w:ascii="Times New Roman" w:hAnsi="Times New Roman"/>
          <w:sz w:val="21"/>
          <w:szCs w:val="21"/>
          <w:lang w:eastAsia="zh-CN"/>
        </w:rPr>
        <w:t>；</w:t>
      </w:r>
    </w:p>
    <w:p w14:paraId="43D7E3A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（2）专业基础扎实，能胜任专业课程的教学或实训指导工作</w:t>
      </w:r>
      <w:r>
        <w:rPr>
          <w:rFonts w:hint="eastAsia" w:ascii="Times New Roman" w:hAnsi="Times New Roman"/>
          <w:sz w:val="21"/>
          <w:szCs w:val="21"/>
          <w:lang w:eastAsia="zh-CN"/>
        </w:rPr>
        <w:t>；</w:t>
      </w:r>
    </w:p>
    <w:p w14:paraId="2BFC7BB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（3）能够胜任实践教学，根据企业岗位需要开发实训课程，及时更新实践教学内容、具有较高的专业教学水平</w:t>
      </w:r>
      <w:r>
        <w:rPr>
          <w:rFonts w:hint="eastAsia" w:ascii="Times New Roman" w:hAnsi="Times New Roman"/>
          <w:sz w:val="21"/>
          <w:szCs w:val="21"/>
          <w:lang w:eastAsia="zh-CN"/>
        </w:rPr>
        <w:t>；</w:t>
      </w:r>
    </w:p>
    <w:p w14:paraId="2A28E95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（4）具有良好的思想品德修养，遵守职业道德，为人师表，关爱学生</w:t>
      </w:r>
      <w:r>
        <w:rPr>
          <w:rFonts w:hint="eastAsia" w:ascii="Times New Roman" w:hAnsi="Times New Roman"/>
          <w:sz w:val="21"/>
          <w:szCs w:val="21"/>
          <w:lang w:eastAsia="zh-CN"/>
        </w:rPr>
        <w:t>；</w:t>
      </w:r>
    </w:p>
    <w:p w14:paraId="12377F1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（5）热心教育事业，责任心强，善于沟通。</w:t>
      </w:r>
    </w:p>
    <w:p w14:paraId="7791FB7F">
      <w:pPr>
        <w:pStyle w:val="3"/>
        <w:bidi w:val="0"/>
        <w:rPr>
          <w:rFonts w:hint="eastAsia"/>
          <w:lang w:val="en-US" w:eastAsia="zh-CN"/>
        </w:rPr>
      </w:pPr>
      <w:r>
        <w:rPr>
          <w:rFonts w:hint="eastAsia"/>
          <w:lang w:val="en-US" w:eastAsia="zh-CN"/>
        </w:rPr>
        <w:t>（二）教学设施</w:t>
      </w:r>
      <w:bookmarkEnd w:id="30"/>
      <w:bookmarkEnd w:id="31"/>
    </w:p>
    <w:p w14:paraId="5026B6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宋体"/>
          <w:sz w:val="21"/>
          <w:szCs w:val="21"/>
          <w:lang w:val="en-US" w:eastAsia="zh-CN"/>
        </w:rPr>
      </w:pPr>
      <w:r>
        <w:rPr>
          <w:rFonts w:ascii="Times New Roman" w:hAnsi="Times New Roman" w:eastAsia="宋体" w:cs="宋体"/>
          <w:sz w:val="21"/>
          <w:szCs w:val="21"/>
        </w:rPr>
        <w:t>主要包括能够满足正常的课程教学、实习实训所需的专业教室、实验室、实训室和实习实训基地</w:t>
      </w:r>
      <w:r>
        <w:rPr>
          <w:rFonts w:hint="eastAsia" w:ascii="Times New Roman" w:hAnsi="Times New Roman" w:eastAsia="宋体" w:cs="宋体"/>
          <w:sz w:val="21"/>
          <w:szCs w:val="21"/>
          <w:lang w:val="en-US" w:eastAsia="zh-CN"/>
        </w:rPr>
        <w:t>。</w:t>
      </w:r>
    </w:p>
    <w:p w14:paraId="6D0921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Times New Roman" w:hAnsi="Times New Roman" w:eastAsia="宋体" w:cs="宋体"/>
          <w:b/>
          <w:bCs/>
          <w:kern w:val="2"/>
          <w:sz w:val="21"/>
          <w:szCs w:val="21"/>
          <w:lang w:val="en-US" w:eastAsia="zh-CN" w:bidi="ar-SA"/>
        </w:rPr>
      </w:pPr>
      <w:r>
        <w:rPr>
          <w:rFonts w:hint="default" w:ascii="Times New Roman" w:hAnsi="Times New Roman" w:eastAsia="宋体" w:cs="宋体"/>
          <w:b/>
          <w:bCs/>
          <w:kern w:val="2"/>
          <w:sz w:val="21"/>
          <w:szCs w:val="21"/>
          <w:lang w:val="en-US" w:eastAsia="zh-CN" w:bidi="ar-SA"/>
        </w:rPr>
        <w:t>1.</w:t>
      </w:r>
      <w:r>
        <w:rPr>
          <w:rFonts w:hint="eastAsia" w:ascii="Times New Roman" w:hAnsi="Times New Roman" w:eastAsia="宋体" w:cs="宋体"/>
          <w:b/>
          <w:bCs/>
          <w:kern w:val="2"/>
          <w:sz w:val="21"/>
          <w:szCs w:val="21"/>
          <w:lang w:val="en-US" w:eastAsia="zh-CN" w:bidi="ar-SA"/>
        </w:rPr>
        <w:t>专业教室基本要求</w:t>
      </w:r>
    </w:p>
    <w:p w14:paraId="3EB90C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2D2C82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2.校内实训室（基地）基本要求</w:t>
      </w:r>
    </w:p>
    <w:p w14:paraId="463102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大数据平台部署与运维、数据采集、数据预处理、大数据分析、数据挖掘、数据可视化等实验、实训活动。鼓励在实训中运用大数据、云计算、人工智能、虚拟仿真等前沿信息技术。</w:t>
      </w:r>
    </w:p>
    <w:p w14:paraId="63393250">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校内实训室概况</w:t>
      </w:r>
    </w:p>
    <w:tbl>
      <w:tblPr>
        <w:tblStyle w:val="14"/>
        <w:tblpPr w:leftFromText="181" w:rightFromText="181" w:vertAnchor="text" w:horzAnchor="page" w:tblpXSpec="center" w:tblpY="1"/>
        <w:tblOverlap w:val="never"/>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543"/>
        <w:gridCol w:w="3180"/>
        <w:gridCol w:w="1010"/>
        <w:gridCol w:w="1057"/>
        <w:gridCol w:w="1918"/>
      </w:tblGrid>
      <w:tr w14:paraId="2CC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52EAAE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序号</w:t>
            </w:r>
          </w:p>
        </w:tc>
        <w:tc>
          <w:tcPr>
            <w:tcW w:w="1543" w:type="dxa"/>
            <w:vAlign w:val="center"/>
          </w:tcPr>
          <w:p w14:paraId="6ABEAF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实验/实训室名称</w:t>
            </w:r>
          </w:p>
        </w:tc>
        <w:tc>
          <w:tcPr>
            <w:tcW w:w="3180" w:type="dxa"/>
            <w:vAlign w:val="center"/>
          </w:tcPr>
          <w:p w14:paraId="21F1F3C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功能（实训实习项目）</w:t>
            </w:r>
          </w:p>
        </w:tc>
        <w:tc>
          <w:tcPr>
            <w:tcW w:w="1010" w:type="dxa"/>
            <w:vAlign w:val="center"/>
          </w:tcPr>
          <w:p w14:paraId="3EA379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面积（㎡）</w:t>
            </w:r>
          </w:p>
        </w:tc>
        <w:tc>
          <w:tcPr>
            <w:tcW w:w="1057" w:type="dxa"/>
            <w:vAlign w:val="center"/>
          </w:tcPr>
          <w:p w14:paraId="051A18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工位数（个）</w:t>
            </w:r>
          </w:p>
        </w:tc>
        <w:tc>
          <w:tcPr>
            <w:tcW w:w="1918" w:type="dxa"/>
            <w:vAlign w:val="center"/>
          </w:tcPr>
          <w:p w14:paraId="2F80697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支撑课程</w:t>
            </w:r>
          </w:p>
        </w:tc>
      </w:tr>
      <w:tr w14:paraId="1852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Align w:val="center"/>
          </w:tcPr>
          <w:p w14:paraId="1858B22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w:t>
            </w:r>
          </w:p>
        </w:tc>
        <w:tc>
          <w:tcPr>
            <w:tcW w:w="1543" w:type="dxa"/>
            <w:vAlign w:val="center"/>
          </w:tcPr>
          <w:p w14:paraId="6DEDCBF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大数据技术综合实训室</w:t>
            </w:r>
          </w:p>
        </w:tc>
        <w:tc>
          <w:tcPr>
            <w:tcW w:w="3180" w:type="dxa"/>
            <w:tcMar>
              <w:top w:w="0" w:type="dxa"/>
              <w:left w:w="57" w:type="dxa"/>
              <w:bottom w:w="0" w:type="dxa"/>
              <w:right w:w="57" w:type="dxa"/>
            </w:tcMar>
            <w:vAlign w:val="top"/>
          </w:tcPr>
          <w:p w14:paraId="090685A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项目1：计算机网络组网与配置实训</w:t>
            </w:r>
          </w:p>
          <w:p w14:paraId="002763E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项目2：Web前端开发实战实训</w:t>
            </w:r>
          </w:p>
          <w:p w14:paraId="0E7A093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项目3：Linux系统管理与Shell编程实训</w:t>
            </w:r>
          </w:p>
          <w:p w14:paraId="13466EC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项目4：Python程序设计基础实训</w:t>
            </w:r>
          </w:p>
          <w:p w14:paraId="4476249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项目5：数据库建模与SQL查询实训</w:t>
            </w:r>
          </w:p>
        </w:tc>
        <w:tc>
          <w:tcPr>
            <w:tcW w:w="1010" w:type="dxa"/>
            <w:vAlign w:val="center"/>
          </w:tcPr>
          <w:p w14:paraId="3940F5F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150</w:t>
            </w:r>
          </w:p>
        </w:tc>
        <w:tc>
          <w:tcPr>
            <w:tcW w:w="1057" w:type="dxa"/>
            <w:vAlign w:val="center"/>
          </w:tcPr>
          <w:p w14:paraId="56618B7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50</w:t>
            </w:r>
          </w:p>
        </w:tc>
        <w:tc>
          <w:tcPr>
            <w:tcW w:w="1918" w:type="dxa"/>
            <w:tcMar>
              <w:top w:w="0" w:type="dxa"/>
              <w:left w:w="57" w:type="dxa"/>
              <w:bottom w:w="0" w:type="dxa"/>
              <w:right w:w="0" w:type="dxa"/>
            </w:tcMar>
            <w:vAlign w:val="center"/>
          </w:tcPr>
          <w:p w14:paraId="717E2A6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计算机网络技术</w:t>
            </w:r>
          </w:p>
          <w:p w14:paraId="6C3591B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Web前端技术基础</w:t>
            </w:r>
          </w:p>
          <w:p w14:paraId="2F87407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Linux操作系统</w:t>
            </w:r>
          </w:p>
          <w:p w14:paraId="179B825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程序设计基础</w:t>
            </w:r>
          </w:p>
          <w:p w14:paraId="5873FA8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Python编程基础</w:t>
            </w:r>
          </w:p>
          <w:p w14:paraId="6C1C0F3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数据库技术</w:t>
            </w:r>
          </w:p>
        </w:tc>
      </w:tr>
      <w:tr w14:paraId="1FCF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3E5F2F5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t>2</w:t>
            </w:r>
          </w:p>
        </w:tc>
        <w:tc>
          <w:tcPr>
            <w:tcW w:w="1543" w:type="dxa"/>
            <w:vAlign w:val="center"/>
          </w:tcPr>
          <w:p w14:paraId="3058668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大数据平台部署与运维实训室</w:t>
            </w:r>
          </w:p>
        </w:tc>
        <w:tc>
          <w:tcPr>
            <w:tcW w:w="3180" w:type="dxa"/>
            <w:tcMar>
              <w:top w:w="0" w:type="dxa"/>
              <w:left w:w="57" w:type="dxa"/>
              <w:bottom w:w="0" w:type="dxa"/>
              <w:right w:w="57" w:type="dxa"/>
            </w:tcMar>
            <w:vAlign w:val="center"/>
          </w:tcPr>
          <w:p w14:paraId="1241B4D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项目1：Hadoop/Spark集群部署实训</w:t>
            </w:r>
          </w:p>
          <w:p w14:paraId="5BF07C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项目2：云计算平台（OpenStack/AWS）搭建实训</w:t>
            </w:r>
          </w:p>
          <w:p w14:paraId="5DE925A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项目3：大数据安全防护与漏洞修复实训</w:t>
            </w:r>
          </w:p>
        </w:tc>
        <w:tc>
          <w:tcPr>
            <w:tcW w:w="1010" w:type="dxa"/>
            <w:vAlign w:val="center"/>
          </w:tcPr>
          <w:p w14:paraId="26E9686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120</w:t>
            </w:r>
          </w:p>
        </w:tc>
        <w:tc>
          <w:tcPr>
            <w:tcW w:w="1057" w:type="dxa"/>
            <w:vAlign w:val="center"/>
          </w:tcPr>
          <w:p w14:paraId="036463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40</w:t>
            </w:r>
          </w:p>
        </w:tc>
        <w:tc>
          <w:tcPr>
            <w:tcW w:w="1918" w:type="dxa"/>
            <w:tcMar>
              <w:top w:w="0" w:type="dxa"/>
              <w:left w:w="57" w:type="dxa"/>
              <w:bottom w:w="0" w:type="dxa"/>
              <w:right w:w="0" w:type="dxa"/>
            </w:tcMar>
            <w:vAlign w:val="center"/>
          </w:tcPr>
          <w:p w14:paraId="31F7025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大数据平台部署与运维</w:t>
            </w:r>
          </w:p>
          <w:p w14:paraId="46F6B3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云计算平台技术应用</w:t>
            </w:r>
          </w:p>
          <w:p w14:paraId="1EF8AF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大数据安全技术</w:t>
            </w:r>
          </w:p>
        </w:tc>
      </w:tr>
      <w:tr w14:paraId="1C4F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98289E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t>3</w:t>
            </w:r>
          </w:p>
        </w:tc>
        <w:tc>
          <w:tcPr>
            <w:tcW w:w="1543" w:type="dxa"/>
            <w:vAlign w:val="center"/>
          </w:tcPr>
          <w:p w14:paraId="4218912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caps w:val="0"/>
                <w:color w:val="000000" w:themeColor="text1"/>
                <w:spacing w:val="4"/>
                <w:sz w:val="18"/>
                <w:szCs w:val="18"/>
                <w:shd w:val="clear" w:fill="FFFFFF"/>
                <w14:textFill>
                  <w14:solidFill>
                    <w14:schemeClr w14:val="tx1"/>
                  </w14:solidFill>
                </w14:textFill>
              </w:rPr>
              <w:t>大数据采集与分析实训室</w:t>
            </w:r>
          </w:p>
        </w:tc>
        <w:tc>
          <w:tcPr>
            <w:tcW w:w="3180" w:type="dxa"/>
            <w:tcMar>
              <w:top w:w="0" w:type="dxa"/>
              <w:left w:w="57" w:type="dxa"/>
              <w:bottom w:w="0" w:type="dxa"/>
              <w:right w:w="57" w:type="dxa"/>
            </w:tcMar>
            <w:vAlign w:val="center"/>
          </w:tcPr>
          <w:p w14:paraId="5521206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项目1：多源数据采集爬虫开发实训</w:t>
            </w:r>
          </w:p>
          <w:p w14:paraId="25E045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项目2：数据清洗与ETL处理实训</w:t>
            </w:r>
          </w:p>
          <w:p w14:paraId="269F62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项目3：用户行为分析与挖掘建模实训</w:t>
            </w:r>
          </w:p>
        </w:tc>
        <w:tc>
          <w:tcPr>
            <w:tcW w:w="1010" w:type="dxa"/>
            <w:vAlign w:val="center"/>
          </w:tcPr>
          <w:p w14:paraId="184DD38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120</w:t>
            </w:r>
          </w:p>
        </w:tc>
        <w:tc>
          <w:tcPr>
            <w:tcW w:w="1057" w:type="dxa"/>
            <w:vAlign w:val="center"/>
          </w:tcPr>
          <w:p w14:paraId="2EFA49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40</w:t>
            </w:r>
          </w:p>
        </w:tc>
        <w:tc>
          <w:tcPr>
            <w:tcW w:w="1918" w:type="dxa"/>
            <w:tcMar>
              <w:top w:w="0" w:type="dxa"/>
              <w:left w:w="57" w:type="dxa"/>
              <w:bottom w:w="0" w:type="dxa"/>
              <w:right w:w="0" w:type="dxa"/>
            </w:tcMar>
            <w:vAlign w:val="center"/>
          </w:tcPr>
          <w:p w14:paraId="6D0D947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数据采集技术</w:t>
            </w:r>
          </w:p>
          <w:p w14:paraId="544011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数据预处理技术</w:t>
            </w:r>
          </w:p>
          <w:p w14:paraId="73390F3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大数据分析技术应用</w:t>
            </w:r>
          </w:p>
          <w:p w14:paraId="42C71F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数据挖掘应用</w:t>
            </w:r>
          </w:p>
        </w:tc>
      </w:tr>
      <w:tr w14:paraId="628F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8C8A5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t>4</w:t>
            </w:r>
          </w:p>
        </w:tc>
        <w:tc>
          <w:tcPr>
            <w:tcW w:w="1543" w:type="dxa"/>
            <w:vAlign w:val="center"/>
          </w:tcPr>
          <w:p w14:paraId="2D5F9EC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大数据可视化实训室</w:t>
            </w:r>
          </w:p>
        </w:tc>
        <w:tc>
          <w:tcPr>
            <w:tcW w:w="3180" w:type="dxa"/>
            <w:tcMar>
              <w:top w:w="0" w:type="dxa"/>
              <w:left w:w="57" w:type="dxa"/>
              <w:bottom w:w="0" w:type="dxa"/>
              <w:right w:w="57" w:type="dxa"/>
            </w:tcMar>
            <w:vAlign w:val="center"/>
          </w:tcPr>
          <w:p w14:paraId="08421C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项目1：Tableau/Power BI商业看板开发实训</w:t>
            </w:r>
          </w:p>
          <w:p w14:paraId="779EB75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项目2：Echarts大屏交互可视化实训</w:t>
            </w:r>
          </w:p>
          <w:p w14:paraId="1D964C2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项目3：行业数据可视化项目综合实践</w:t>
            </w:r>
          </w:p>
        </w:tc>
        <w:tc>
          <w:tcPr>
            <w:tcW w:w="1010" w:type="dxa"/>
            <w:vAlign w:val="center"/>
          </w:tcPr>
          <w:p w14:paraId="0B22AB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100</w:t>
            </w:r>
          </w:p>
        </w:tc>
        <w:tc>
          <w:tcPr>
            <w:tcW w:w="1057" w:type="dxa"/>
            <w:vAlign w:val="center"/>
          </w:tcPr>
          <w:p w14:paraId="5D1C59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50</w:t>
            </w:r>
          </w:p>
        </w:tc>
        <w:tc>
          <w:tcPr>
            <w:tcW w:w="1918" w:type="dxa"/>
            <w:tcMar>
              <w:top w:w="0" w:type="dxa"/>
              <w:left w:w="57" w:type="dxa"/>
              <w:bottom w:w="0" w:type="dxa"/>
              <w:right w:w="0" w:type="dxa"/>
            </w:tcMar>
            <w:vAlign w:val="center"/>
          </w:tcPr>
          <w:p w14:paraId="6FA0881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数据可视化技术与应用</w:t>
            </w:r>
          </w:p>
          <w:p w14:paraId="619E2D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大数据产品运营</w:t>
            </w:r>
          </w:p>
          <w:p w14:paraId="789A92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大数据项目管理</w:t>
            </w:r>
          </w:p>
        </w:tc>
      </w:tr>
    </w:tbl>
    <w:p w14:paraId="252EBB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3.校外实训基地基本要求</w:t>
      </w:r>
    </w:p>
    <w:p w14:paraId="306E4EC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0F09D33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根据本专业人才培养的需要和未来就业需求，实习基地应能提供大数据实施与运维、数据采集与处理、大数据分析与可视化、大数据平台管理、大数据技术服务、大数据产品运营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72B4348">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Times New Roman" w:hAnsi="Times New Roman" w:eastAsia="方正仿宋_GB2312" w:cs="方正仿宋_GB2312"/>
          <w:color w:val="006FC0"/>
          <w:spacing w:val="-10"/>
          <w:sz w:val="21"/>
          <w:szCs w:val="21"/>
        </w:rPr>
      </w:pPr>
      <w:r>
        <w:rPr>
          <w:rFonts w:hint="eastAsia" w:ascii="Times New Roman" w:hAnsi="Times New Roman" w:eastAsia="宋体" w:cs="Times New Roman"/>
          <w:b/>
          <w:bCs/>
          <w:kern w:val="2"/>
          <w:sz w:val="21"/>
          <w:szCs w:val="21"/>
          <w:lang w:val="en-US" w:eastAsia="zh-CN" w:bidi="ar-SA"/>
        </w:rPr>
        <w:t>校外实训基地概况</w:t>
      </w:r>
    </w:p>
    <w:tbl>
      <w:tblPr>
        <w:tblStyle w:val="1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799"/>
        <w:gridCol w:w="1546"/>
        <w:gridCol w:w="2631"/>
        <w:gridCol w:w="1023"/>
        <w:gridCol w:w="2092"/>
      </w:tblGrid>
      <w:tr w14:paraId="7D11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69" w:type="dxa"/>
            <w:vAlign w:val="center"/>
          </w:tcPr>
          <w:p w14:paraId="2F8E660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序号</w:t>
            </w:r>
          </w:p>
        </w:tc>
        <w:tc>
          <w:tcPr>
            <w:tcW w:w="1799" w:type="dxa"/>
            <w:vAlign w:val="center"/>
          </w:tcPr>
          <w:p w14:paraId="6BE23D5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校外实训基地名称</w:t>
            </w:r>
          </w:p>
        </w:tc>
        <w:tc>
          <w:tcPr>
            <w:tcW w:w="1546" w:type="dxa"/>
            <w:vAlign w:val="center"/>
          </w:tcPr>
          <w:p w14:paraId="0DC659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合作企业名称</w:t>
            </w:r>
          </w:p>
        </w:tc>
        <w:tc>
          <w:tcPr>
            <w:tcW w:w="2631" w:type="dxa"/>
            <w:vAlign w:val="center"/>
          </w:tcPr>
          <w:p w14:paraId="480D8A5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合作项目</w:t>
            </w:r>
          </w:p>
        </w:tc>
        <w:tc>
          <w:tcPr>
            <w:tcW w:w="1023" w:type="dxa"/>
            <w:vAlign w:val="center"/>
          </w:tcPr>
          <w:p w14:paraId="67E1FCA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合作深度</w:t>
            </w:r>
          </w:p>
        </w:tc>
        <w:tc>
          <w:tcPr>
            <w:tcW w:w="2092" w:type="dxa"/>
            <w:vAlign w:val="center"/>
          </w:tcPr>
          <w:p w14:paraId="1370926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Times New Roman" w:hAnsi="Times New Roman" w:eastAsia="宋体" w:cs="宋体"/>
                <w:b/>
                <w:bCs/>
                <w:sz w:val="18"/>
                <w:szCs w:val="18"/>
                <w:lang w:val="en-US" w:eastAsia="zh-CN"/>
              </w:rPr>
            </w:pPr>
            <w:r>
              <w:rPr>
                <w:rFonts w:hint="eastAsia" w:ascii="Times New Roman" w:hAnsi="Times New Roman" w:cs="宋体"/>
                <w:b/>
                <w:bCs/>
                <w:sz w:val="18"/>
                <w:szCs w:val="18"/>
                <w:lang w:val="en-US" w:eastAsia="zh-CN"/>
              </w:rPr>
              <w:t>核心岗位</w:t>
            </w:r>
          </w:p>
        </w:tc>
      </w:tr>
      <w:tr w14:paraId="1332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5C35F53D">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1</w:t>
            </w:r>
          </w:p>
        </w:tc>
        <w:tc>
          <w:tcPr>
            <w:tcW w:w="1799" w:type="dxa"/>
            <w:vAlign w:val="center"/>
          </w:tcPr>
          <w:p w14:paraId="7240B1AE">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lang w:val="zh-CN"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大数据技术应用实训基地</w:t>
            </w:r>
          </w:p>
        </w:tc>
        <w:tc>
          <w:tcPr>
            <w:tcW w:w="1546" w:type="dxa"/>
            <w:vAlign w:val="center"/>
          </w:tcPr>
          <w:p w14:paraId="76524906">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北京数据科技有限公司</w:t>
            </w:r>
          </w:p>
        </w:tc>
        <w:tc>
          <w:tcPr>
            <w:tcW w:w="2631" w:type="dxa"/>
            <w:vAlign w:val="center"/>
          </w:tcPr>
          <w:p w14:paraId="18A2232A">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大数据平台搭建与应用</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w:t>
            </w:r>
            <w:r>
              <w:rPr>
                <w:rFonts w:hint="eastAsia" w:cs="宋体"/>
                <w:sz w:val="18"/>
                <w:szCs w:val="18"/>
                <w:lang w:val="en-US" w:eastAsia="zh-CN"/>
              </w:rPr>
              <w:t>岗位实习</w:t>
            </w:r>
            <w:r>
              <w:rPr>
                <w:rFonts w:hint="default" w:ascii="Times New Roman" w:hAnsi="Times New Roman" w:eastAsia="宋体" w:cs="宋体"/>
                <w:sz w:val="18"/>
                <w:szCs w:val="18"/>
                <w:lang w:val="en-US" w:eastAsia="zh-CN"/>
              </w:rPr>
              <w:t>、生产性实训、教师专业实践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32026C1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3A68553D">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大数据工程师、数据分析师、系统架构师</w:t>
            </w:r>
          </w:p>
        </w:tc>
      </w:tr>
      <w:tr w14:paraId="2BE4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160F3CC6">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2</w:t>
            </w:r>
          </w:p>
        </w:tc>
        <w:tc>
          <w:tcPr>
            <w:tcW w:w="1799" w:type="dxa"/>
            <w:vAlign w:val="center"/>
          </w:tcPr>
          <w:p w14:paraId="50DF6C5D">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大数据挖掘分析实训基地</w:t>
            </w:r>
          </w:p>
        </w:tc>
        <w:tc>
          <w:tcPr>
            <w:tcW w:w="1546" w:type="dxa"/>
            <w:vAlign w:val="center"/>
          </w:tcPr>
          <w:p w14:paraId="01D51E3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上海数据分析咨询有限公司</w:t>
            </w:r>
          </w:p>
        </w:tc>
        <w:tc>
          <w:tcPr>
            <w:tcW w:w="2631" w:type="dxa"/>
            <w:vAlign w:val="center"/>
          </w:tcPr>
          <w:p w14:paraId="64DFCFA8">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数据挖掘与分析解决方案</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w:t>
            </w:r>
            <w:r>
              <w:rPr>
                <w:rFonts w:hint="eastAsia" w:cs="宋体"/>
                <w:sz w:val="18"/>
                <w:szCs w:val="18"/>
                <w:lang w:val="en-US" w:eastAsia="zh-CN"/>
              </w:rPr>
              <w:t>岗位实习</w:t>
            </w:r>
            <w:r>
              <w:rPr>
                <w:rFonts w:hint="default" w:ascii="Times New Roman" w:hAnsi="Times New Roman" w:eastAsia="宋体" w:cs="宋体"/>
                <w:sz w:val="18"/>
                <w:szCs w:val="18"/>
                <w:lang w:val="en-US" w:eastAsia="zh-CN"/>
              </w:rPr>
              <w:t>、生产性实训、教师专业实践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24D68ED5">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4B85F254">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数据挖掘工程师、数据分析师、业务分析师</w:t>
            </w:r>
          </w:p>
        </w:tc>
      </w:tr>
      <w:tr w14:paraId="0E35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6A5A589D">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3</w:t>
            </w:r>
          </w:p>
        </w:tc>
        <w:tc>
          <w:tcPr>
            <w:tcW w:w="1799" w:type="dxa"/>
            <w:vAlign w:val="center"/>
          </w:tcPr>
          <w:p w14:paraId="7B5EED2B">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大数据安全实训基地</w:t>
            </w:r>
          </w:p>
        </w:tc>
        <w:tc>
          <w:tcPr>
            <w:tcW w:w="1546" w:type="dxa"/>
            <w:vAlign w:val="center"/>
          </w:tcPr>
          <w:p w14:paraId="543B5D00">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广州信息安全科技有限公司</w:t>
            </w:r>
          </w:p>
        </w:tc>
        <w:tc>
          <w:tcPr>
            <w:tcW w:w="2631" w:type="dxa"/>
            <w:vAlign w:val="center"/>
          </w:tcPr>
          <w:p w14:paraId="08D186C2">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大数据安全策略与防护</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w:t>
            </w:r>
            <w:r>
              <w:rPr>
                <w:rFonts w:hint="eastAsia" w:cs="宋体"/>
                <w:sz w:val="18"/>
                <w:szCs w:val="18"/>
                <w:lang w:val="en-US" w:eastAsia="zh-CN"/>
              </w:rPr>
              <w:t>岗位实习</w:t>
            </w:r>
            <w:r>
              <w:rPr>
                <w:rFonts w:hint="default" w:ascii="Times New Roman" w:hAnsi="Times New Roman" w:eastAsia="宋体" w:cs="宋体"/>
                <w:sz w:val="18"/>
                <w:szCs w:val="18"/>
                <w:lang w:val="en-US" w:eastAsia="zh-CN"/>
              </w:rPr>
              <w:t>、生产性实训、教师专业实践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78286F5F">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427C5C5D">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信息安全工程师、数据保护专家</w:t>
            </w:r>
          </w:p>
        </w:tc>
      </w:tr>
      <w:tr w14:paraId="617D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1A68EB06">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4</w:t>
            </w:r>
          </w:p>
        </w:tc>
        <w:tc>
          <w:tcPr>
            <w:tcW w:w="1799" w:type="dxa"/>
            <w:vAlign w:val="center"/>
          </w:tcPr>
          <w:p w14:paraId="01F83C0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大数据可视化实训基地</w:t>
            </w:r>
          </w:p>
        </w:tc>
        <w:tc>
          <w:tcPr>
            <w:tcW w:w="1546" w:type="dxa"/>
            <w:vAlign w:val="center"/>
          </w:tcPr>
          <w:p w14:paraId="68E3B98F">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杭州数据可视化技术有限公司</w:t>
            </w:r>
          </w:p>
        </w:tc>
        <w:tc>
          <w:tcPr>
            <w:tcW w:w="2631" w:type="dxa"/>
            <w:vAlign w:val="center"/>
          </w:tcPr>
          <w:p w14:paraId="63B981FD">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数据可视化工具开发与应用</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w:t>
            </w:r>
            <w:r>
              <w:rPr>
                <w:rFonts w:hint="eastAsia" w:cs="宋体"/>
                <w:sz w:val="18"/>
                <w:szCs w:val="18"/>
                <w:lang w:val="en-US" w:eastAsia="zh-CN"/>
              </w:rPr>
              <w:t>岗位实习</w:t>
            </w:r>
            <w:r>
              <w:rPr>
                <w:rFonts w:hint="default" w:ascii="Times New Roman" w:hAnsi="Times New Roman" w:eastAsia="宋体" w:cs="宋体"/>
                <w:sz w:val="18"/>
                <w:szCs w:val="18"/>
                <w:lang w:val="en-US" w:eastAsia="zh-CN"/>
              </w:rPr>
              <w:t>、生产性实训、教师专业实践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3B0F70F0">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47C9E959">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数据可视化工程师、前端开发工程师</w:t>
            </w:r>
          </w:p>
        </w:tc>
      </w:tr>
      <w:tr w14:paraId="2FBE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58F555E6">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5</w:t>
            </w:r>
          </w:p>
        </w:tc>
        <w:tc>
          <w:tcPr>
            <w:tcW w:w="1799" w:type="dxa"/>
            <w:vAlign w:val="center"/>
          </w:tcPr>
          <w:p w14:paraId="5B134588">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大数据存储管理实训基地</w:t>
            </w:r>
          </w:p>
        </w:tc>
        <w:tc>
          <w:tcPr>
            <w:tcW w:w="1546" w:type="dxa"/>
            <w:vAlign w:val="center"/>
          </w:tcPr>
          <w:p w14:paraId="30A11309">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南京数据存储服务有限公司</w:t>
            </w:r>
          </w:p>
        </w:tc>
        <w:tc>
          <w:tcPr>
            <w:tcW w:w="2631" w:type="dxa"/>
            <w:vAlign w:val="center"/>
          </w:tcPr>
          <w:p w14:paraId="2AABE427">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大数据存储解决方案</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w:t>
            </w:r>
            <w:r>
              <w:rPr>
                <w:rFonts w:hint="eastAsia" w:cs="宋体"/>
                <w:sz w:val="18"/>
                <w:szCs w:val="18"/>
                <w:lang w:val="en-US" w:eastAsia="zh-CN"/>
              </w:rPr>
              <w:t>岗位实习</w:t>
            </w:r>
            <w:r>
              <w:rPr>
                <w:rFonts w:hint="default" w:ascii="Times New Roman" w:hAnsi="Times New Roman" w:eastAsia="宋体" w:cs="宋体"/>
                <w:sz w:val="18"/>
                <w:szCs w:val="18"/>
                <w:lang w:val="en-US" w:eastAsia="zh-CN"/>
              </w:rPr>
              <w:t>、生产性实训、教师专业实践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298D2E49">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5360B435">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存储工程师、数据库管理员</w:t>
            </w:r>
          </w:p>
        </w:tc>
      </w:tr>
      <w:tr w14:paraId="5177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01C4428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6</w:t>
            </w:r>
          </w:p>
        </w:tc>
        <w:tc>
          <w:tcPr>
            <w:tcW w:w="1799" w:type="dxa"/>
            <w:vAlign w:val="center"/>
          </w:tcPr>
          <w:p w14:paraId="3EBE09DC">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大数据机器学习实训基地</w:t>
            </w:r>
          </w:p>
        </w:tc>
        <w:tc>
          <w:tcPr>
            <w:tcW w:w="1546" w:type="dxa"/>
            <w:vAlign w:val="center"/>
          </w:tcPr>
          <w:p w14:paraId="690D41DF">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成都机器学习研究有限公司</w:t>
            </w:r>
          </w:p>
        </w:tc>
        <w:tc>
          <w:tcPr>
            <w:tcW w:w="2631" w:type="dxa"/>
            <w:vAlign w:val="center"/>
          </w:tcPr>
          <w:p w14:paraId="768289CB">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机器学习算法开发与应用</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w:t>
            </w:r>
            <w:r>
              <w:rPr>
                <w:rFonts w:hint="eastAsia" w:cs="宋体"/>
                <w:sz w:val="18"/>
                <w:szCs w:val="18"/>
                <w:lang w:val="en-US" w:eastAsia="zh-CN"/>
              </w:rPr>
              <w:t>岗位实习</w:t>
            </w:r>
            <w:r>
              <w:rPr>
                <w:rFonts w:hint="default" w:ascii="Times New Roman" w:hAnsi="Times New Roman" w:eastAsia="宋体" w:cs="宋体"/>
                <w:sz w:val="18"/>
                <w:szCs w:val="18"/>
                <w:lang w:val="en-US" w:eastAsia="zh-CN"/>
              </w:rPr>
              <w:t>、生产性实训、教师专业实践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0FC98828">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447496EA">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机器学习工程师、算法工程师</w:t>
            </w:r>
          </w:p>
        </w:tc>
      </w:tr>
      <w:tr w14:paraId="5A6F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2E491E6B">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7</w:t>
            </w:r>
          </w:p>
        </w:tc>
        <w:tc>
          <w:tcPr>
            <w:tcW w:w="1799" w:type="dxa"/>
            <w:vAlign w:val="center"/>
          </w:tcPr>
          <w:p w14:paraId="15D0585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大数据人工智能实训基地</w:t>
            </w:r>
          </w:p>
        </w:tc>
        <w:tc>
          <w:tcPr>
            <w:tcW w:w="1546" w:type="dxa"/>
            <w:vAlign w:val="center"/>
          </w:tcPr>
          <w:p w14:paraId="18D5E3FD">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深圳人工智能科技有限公司</w:t>
            </w:r>
          </w:p>
        </w:tc>
        <w:tc>
          <w:tcPr>
            <w:tcW w:w="2631" w:type="dxa"/>
            <w:vAlign w:val="center"/>
          </w:tcPr>
          <w:p w14:paraId="1E00EF74">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AI与大数据融合应用</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w:t>
            </w:r>
            <w:r>
              <w:rPr>
                <w:rFonts w:hint="eastAsia" w:cs="宋体"/>
                <w:sz w:val="18"/>
                <w:szCs w:val="18"/>
                <w:lang w:val="en-US" w:eastAsia="zh-CN"/>
              </w:rPr>
              <w:t>岗位实习</w:t>
            </w:r>
            <w:r>
              <w:rPr>
                <w:rFonts w:hint="default" w:ascii="Times New Roman" w:hAnsi="Times New Roman" w:eastAsia="宋体" w:cs="宋体"/>
                <w:sz w:val="18"/>
                <w:szCs w:val="18"/>
                <w:lang w:val="en-US" w:eastAsia="zh-CN"/>
              </w:rPr>
              <w:t>、生产性实训、教师专业实践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32A89A54">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5596CC8F">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AI工程师</w:t>
            </w:r>
            <w:r>
              <w:rPr>
                <w:rFonts w:hint="eastAsia" w:ascii="Times New Roman" w:hAnsi="Times New Roman" w:cs="宋体"/>
                <w:i w:val="0"/>
                <w:iCs w:val="0"/>
                <w:color w:val="000000"/>
                <w:kern w:val="0"/>
                <w:sz w:val="18"/>
                <w:szCs w:val="21"/>
                <w:u w:val="none"/>
                <w:lang w:val="en-US" w:eastAsia="zh-CN" w:bidi="ar"/>
              </w:rPr>
              <w:t>、自然语言处理工程师</w:t>
            </w:r>
          </w:p>
        </w:tc>
      </w:tr>
    </w:tbl>
    <w:p w14:paraId="426595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4.学生实习基地基本要求</w:t>
      </w:r>
    </w:p>
    <w:p w14:paraId="5E67A5B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大数据技术专业学生实习基地是学生巩固理论知识、增强数据思维、练就实践能力、实现角色转换、培养综合职业素质的实践性学习与训练场所。大数据技术专业学生实习基地建设应主要选择具备大数据工程技术人员、数据采集与处理、数据分析与挖掘、数据可视化、信息系统集成与运维等岗位的科技企业或数据服务企业。实习基地一次性能承担10名以上学生岗位实习要求，有相关的师徒指导管理制度，相对稳定的合作企业3~7家。</w:t>
      </w:r>
    </w:p>
    <w:p w14:paraId="30765D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5.支持信息化教学基本要求</w:t>
      </w:r>
    </w:p>
    <w:p w14:paraId="0891D31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417060C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具有可利用的数字化教学资源库、教学实训素材库、文献资料、常见问题解答等信息化条件；教师能够开发并利用信息化教学资源、教学平台，创新教学方法，引导学生利用信息化教学条件自主学习，提升教学效果。</w:t>
      </w:r>
    </w:p>
    <w:p w14:paraId="07E7DA9A">
      <w:pPr>
        <w:pStyle w:val="3"/>
        <w:bidi w:val="0"/>
        <w:rPr>
          <w:rFonts w:hint="eastAsia"/>
          <w:lang w:val="en-US" w:eastAsia="zh-CN"/>
        </w:rPr>
      </w:pPr>
      <w:bookmarkStart w:id="32" w:name="_Toc25415"/>
      <w:bookmarkStart w:id="33" w:name="_Toc22349"/>
      <w:r>
        <w:rPr>
          <w:rFonts w:hint="eastAsia"/>
          <w:lang w:val="en-US" w:eastAsia="zh-CN"/>
        </w:rPr>
        <w:t>（三）教学资源</w:t>
      </w:r>
      <w:bookmarkEnd w:id="32"/>
      <w:bookmarkEnd w:id="33"/>
    </w:p>
    <w:p w14:paraId="628D02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1.教材选用基本要求</w:t>
      </w:r>
    </w:p>
    <w:p w14:paraId="0C20D10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按照国家规定，经过规范程序选用教材，优先选用国家规划教材和国家优秀教材。专业课程教材应体现本行业新技术、新规范、新标准、新形态，并通过数字教材、活页式教材等多种方式进行动态更新。</w:t>
      </w:r>
    </w:p>
    <w:p w14:paraId="1B3BF3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2.图书文献配备基本要求</w:t>
      </w:r>
    </w:p>
    <w:p w14:paraId="04B05B0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校图书馆纸质图书藏书量达8000册，专业电子图书22000册，另有16种期刊杂志。大数据技术类的图书文献配备能够满足学校大数据技术专业的人才培养、专业建设和教科研等工作的需要，并且图书管理系统能方便师生查询、借阅。专业类图书文献主要包括：大数据技术基础、数据采集与预处理、数据分析与挖掘、数据可视化、数据存储与管理、大数据平台搭建与运维、机器学习与人工智能应用等方面的文献。</w:t>
      </w:r>
    </w:p>
    <w:p w14:paraId="496144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3.数字教学资源配备基本要求</w:t>
      </w:r>
    </w:p>
    <w:p w14:paraId="0914AC4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bookmarkStart w:id="34" w:name="_Toc16895"/>
      <w:r>
        <w:rPr>
          <w:rFonts w:hint="eastAsia" w:ascii="Times New Roman" w:hAnsi="Times New Roman" w:eastAsia="宋体" w:cs="Times New Roman"/>
          <w:color w:val="000000" w:themeColor="text1"/>
          <w:sz w:val="21"/>
          <w:szCs w:val="21"/>
          <w:lang w:val="en-US" w:eastAsia="zh-CN"/>
          <w14:textFill>
            <w14:solidFill>
              <w14:schemeClr w14:val="tx1"/>
            </w14:solidFill>
          </w14:textFill>
        </w:rPr>
        <w:t>配备与本专业有关的动画微课素材180条、教学课件600条、虚拟仿真软件4套、VR系统2个，数字教材等专业教学资源库4个，配合课程平台：https://www.educoder.net/，专业网站：https://zyk.icve.com.cn/，等，种类丰富、形式多样、使用便捷、动态更新、满足教学。</w:t>
      </w:r>
    </w:p>
    <w:p w14:paraId="031BAE51">
      <w:pPr>
        <w:pStyle w:val="3"/>
        <w:bidi w:val="0"/>
        <w:rPr>
          <w:rFonts w:hint="eastAsia"/>
          <w:lang w:val="en-US" w:eastAsia="zh-CN"/>
        </w:rPr>
      </w:pPr>
      <w:bookmarkStart w:id="35" w:name="_Toc9874"/>
      <w:r>
        <w:rPr>
          <w:rFonts w:hint="eastAsia"/>
          <w:lang w:val="en-US" w:eastAsia="zh-CN"/>
        </w:rPr>
        <w:t>（四）教学方法</w:t>
      </w:r>
      <w:bookmarkEnd w:id="34"/>
      <w:bookmarkEnd w:id="35"/>
    </w:p>
    <w:p w14:paraId="1A64C1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bookmarkStart w:id="36" w:name="_Toc31917"/>
      <w:r>
        <w:rPr>
          <w:rFonts w:hint="eastAsia" w:ascii="Times New Roman" w:hAnsi="Times New Roman" w:eastAsia="宋体" w:cs="宋体"/>
          <w:b/>
          <w:bCs/>
          <w:kern w:val="2"/>
          <w:sz w:val="21"/>
          <w:szCs w:val="21"/>
          <w:lang w:val="zh-CN" w:eastAsia="zh-CN" w:bidi="ar-SA"/>
        </w:rPr>
        <w:t>1.岗位模拟和场景仿真教学法</w:t>
      </w:r>
    </w:p>
    <w:p w14:paraId="66B7C45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岗位模拟和场景仿真教学法是指在教师指导下，学生模拟扮演某一角色进行技能训练的一种教学方法。通过模拟真实的大数据工作场景，学生能够在虚拟环境中进行数据采集、处理、分析和可视化的操作，从而弥补实际条件的不足，为学生提供近似真实的训练环境，提高学生的职业技能。根据本校大数据技术专业所开设课程，开展模拟实训教学，将融入大数据技术的新方法和工具，通过将与该技术相关的视频、音频、虚拟仿真等资源投放到实训室电脑系统中，帮助学生学习大数据技术的新知识，为日后社会实践做好准备。创设情境激发学生的学习兴趣，吸引学生主动参与，教学活动的主体是学生，让学生动起来，积极参与到教学过程中，这不仅有助于更好地理解知识，更主要的是激发学生的生命活力，</w:t>
      </w:r>
      <w:r>
        <w:rPr>
          <w:rFonts w:hint="eastAsia" w:ascii="Times New Roman" w:hAnsi="Times New Roman" w:cs="Times New Roman"/>
          <w:color w:val="000000" w:themeColor="text1"/>
          <w:sz w:val="21"/>
          <w:szCs w:val="21"/>
          <w:lang w:val="en-US" w:eastAsia="zh-CN"/>
          <w14:textFill>
            <w14:solidFill>
              <w14:schemeClr w14:val="tx1"/>
            </w14:solidFill>
          </w14:textFill>
        </w:rPr>
        <w:t>满足</w:t>
      </w: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学生成长的需要。</w:t>
      </w:r>
    </w:p>
    <w:p w14:paraId="2501BF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2.案例教学法</w:t>
      </w:r>
    </w:p>
    <w:p w14:paraId="402796F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案例教学是在学生掌握了有关基本知识和分析技术的基础上，在教师的精心策划和指导下，根据教学目的和教学内容的要求，通过设置一个具体案例，引导学生参与分析、讨论、表达等活动，将学生带入特定事件的现场进行案例分析，让学生在具体的问题情境中积极思考、主动探索。通过学生的独立思考或集体协作，进一步提高其识别、分析和解决某一具体问题的能力，同时培养正确的工作作风、沟通能力和协作精神。例如，通过分析企业数据挖掘案例，学生可以学习如何运用大数据技术解决实际问题。</w:t>
      </w:r>
    </w:p>
    <w:p w14:paraId="49281B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3.现场教学法（做中学，学中做）</w:t>
      </w:r>
    </w:p>
    <w:p w14:paraId="3C3869B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在校外实习基地，选择大数据技术相关岗位开展现场教学。学校安排兼职实习指导教师负责指导学生进行现场教学及岗位实习；订单协议单位协助校方负责学生在实习基地的思想政治教育、职业道德教育、安全生产教育及关心生活等方面管理，并公正合理地对学生岗位实习作出鉴定意见并进行成绩评定。</w:t>
      </w:r>
    </w:p>
    <w:p w14:paraId="6404582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专业指导教师及时把握学生岗位实习与社会实践不同阶段的思想变化，加强学生思想疏导工作，及时与企业沟通学生想法，解决学生遇到的问题或困难，帮助学生实现从校园到职场的过渡。专业指导教师结合实习、实践企业的特点展开针对性指导，从企业的特色出发，引导学生认知岗位和适应岗位、行业工作，并全面展开实习、实训活动。对于部分培训体系不够健全的企业，指导教师应加强与企业的沟通，与企业指导老师积极合作，推动实习、实践方案的有效实施。</w:t>
      </w:r>
    </w:p>
    <w:p w14:paraId="56F17E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4.竞赛促学法</w:t>
      </w:r>
    </w:p>
    <w:p w14:paraId="04A76E5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营造竞赛文化，以赛促学，以赛促练，通过举办校内各种形式的竞赛提高学生技能，使学生有机会参加各种不同内容不同级别的技能竞赛，如大数据分析竞赛、数据可视化竞赛等。这不仅能提高学生的竞争意识，激发学生的学习兴趣，还能营造一个良好的学习氛围，培养学生动手能力。</w:t>
      </w:r>
    </w:p>
    <w:p w14:paraId="4D8953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5.岗位实习</w:t>
      </w:r>
    </w:p>
    <w:p w14:paraId="1CD565D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岗位实习以校企互利共赢为出发点，以结合企业需要与学校集中派遣的方式进行。</w:t>
      </w:r>
    </w:p>
    <w:p w14:paraId="414B397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成立岗位实习管理委员会，由校长、教学副校长、教务科长、专业负责人和班主任组成。校长、教学副校长、教务科长、专业负责人共同制定岗位实习管理制度。包括工学结合组织机构管理办法、工学结合教学质量监控制度、工学结合教学质量评价制度、学生岗位实习成绩评定管理办法、学生岗位实习管理办法等；岗位实习学生按员工考核，由岗位企业管理层和岗位师傅按岗位企业员工管理制度进行考核。编制学生岗位实习日志、教师岗位实习指导周志等记录文件。形成三阶段岗位实习运行机制。校外教学时段分为体验式实习、岗位技能实训、岗位实习三个阶段。第一阶段注重对学生专业技能岗位的感性认识培养，第二阶段重在培养学生专业核心技能，第三阶段重点培养学生在对应工作岗位的服务能力。</w:t>
      </w:r>
    </w:p>
    <w:p w14:paraId="6D2FFD58">
      <w:pPr>
        <w:pStyle w:val="3"/>
        <w:bidi w:val="0"/>
        <w:rPr>
          <w:rFonts w:hint="eastAsia"/>
          <w:lang w:val="en-US" w:eastAsia="zh-CN"/>
        </w:rPr>
      </w:pPr>
      <w:bookmarkStart w:id="37" w:name="_Toc114"/>
      <w:r>
        <w:rPr>
          <w:rFonts w:hint="eastAsia"/>
          <w:lang w:val="en-US" w:eastAsia="zh-CN"/>
        </w:rPr>
        <w:t>（五）学习评价</w:t>
      </w:r>
      <w:bookmarkEnd w:id="36"/>
      <w:bookmarkEnd w:id="37"/>
    </w:p>
    <w:p w14:paraId="211610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1.文化及专业课程考核</w:t>
      </w:r>
    </w:p>
    <w:p w14:paraId="3615E7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在课程教学评价中，采用教师评价、学生自评、学生互评等评价方式。文化基础课程以理论考核成绩和平时表现考核为主，各占50%；专业课程以项目完成情况和学习态度考核为主。</w:t>
      </w:r>
    </w:p>
    <w:p w14:paraId="111DFAA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对知识的理解和运用实行过程考评与期末考评相结合的综合评定方法。过程考评50分（教师评价30分，学生自评10分，学生互评10分）；期末考评（卷面考评）50分。</w:t>
      </w:r>
    </w:p>
    <w:p w14:paraId="722997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2.实训教学考核</w:t>
      </w:r>
    </w:p>
    <w:p w14:paraId="5B32F03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采用校外评价与校内评价相结合的方式。</w:t>
      </w:r>
    </w:p>
    <w:p w14:paraId="34515E4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校内评价：包含技能实训模块考核、理论考试成绩考核、日常表现考核，分别占40%、20%、40%。校内评价每学期分两次考核。</w:t>
      </w:r>
    </w:p>
    <w:p w14:paraId="0DF9BD0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校外评价：包含企业评价和实习辅导老师评价，分别占70%和30%。</w:t>
      </w:r>
    </w:p>
    <w:p w14:paraId="0481AF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3.岗位实习考核</w:t>
      </w:r>
    </w:p>
    <w:p w14:paraId="2FC9D58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岗位实习考核以企业主管、企业指导教师为主，结合学生自评、实习报告、实习带队教师考评。</w:t>
      </w:r>
    </w:p>
    <w:p w14:paraId="7059D7C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企业考核：占考核成绩40%，由企业根据学生在企业的工作态度和掌握的专业技能进行综合评定。</w:t>
      </w:r>
    </w:p>
    <w:p w14:paraId="6A29BDD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学生自评：占考核成绩20%，由学生根据自己在企业的工作态度和掌握的专业技能进行综合评定。</w:t>
      </w:r>
    </w:p>
    <w:p w14:paraId="3C6AC9B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实习报告：占考核成绩20%，根据学生的总结能力予以评定。实习报告内容包括实习计划的执行情况、质量分析与评估、存在问题与解决措施、经验体会与建议等。</w:t>
      </w:r>
    </w:p>
    <w:p w14:paraId="1A72F18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实习带队教师考评：占考核成绩20%，由带队教师根据学生在企业的工作态度、遵守纪律和掌握的专业技能进行综合评定。</w:t>
      </w:r>
    </w:p>
    <w:p w14:paraId="4E2428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4.竞赛评价</w:t>
      </w:r>
    </w:p>
    <w:p w14:paraId="19E7EF7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竞赛评价以竞赛表现为主，结合学生自评、指导教师考评。</w:t>
      </w:r>
    </w:p>
    <w:p w14:paraId="13E6E06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专业能力表现：占考核成绩40%，对参赛队伍在竞赛中展现的大数据专业知识掌握、创新能力、解决问题的技能等方面进行综合评定。</w:t>
      </w:r>
    </w:p>
    <w:p w14:paraId="12DBBF7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团队合作与沟通：占考核成绩20%，根据参赛队伍内部成员之间的合作默契、沟通协调能力等方面进行综合评定。</w:t>
      </w:r>
    </w:p>
    <w:p w14:paraId="71D009E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作品成果展示：占考核成绩20%，根据参赛队伍作品的展示质量、创意表达能力、符合竞赛要求的程度等方面进行综合评价。</w:t>
      </w:r>
    </w:p>
    <w:p w14:paraId="181BBB7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评委打分：占考核成绩20%，由评委根据参赛队伍的表现进行综合评定，包括创意性、实用性、展示效果等。</w:t>
      </w:r>
    </w:p>
    <w:p w14:paraId="729629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5.毕业设计评价</w:t>
      </w:r>
    </w:p>
    <w:p w14:paraId="52E4EF8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毕业设计评价以毕业设计成果展示为主，结合学生自评和导师考评。</w:t>
      </w:r>
    </w:p>
    <w:p w14:paraId="547BABC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设计质量与创新性：占考核成绩30%，根据毕业设计作品的设计水平、创新性、解决问题的能力等方面综合评定。</w:t>
      </w:r>
    </w:p>
    <w:p w14:paraId="43A01A4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学术论文撰写：占考核成绩25%，根据论文结构完整性、学术深度、逻辑清晰度、表达能力等方面进行综合评价。</w:t>
      </w:r>
    </w:p>
    <w:p w14:paraId="21142AB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设计成果展示：占考核成绩25%，对设计成果的展示形式、清晰度、吸引力等方面的评价。</w:t>
      </w:r>
    </w:p>
    <w:p w14:paraId="5D97F9B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导师指导与评价：占考核成绩20%，导师对学生毕业设计过程中的学术指导、独立思考能力、执行能力等方面的评价。</w:t>
      </w:r>
    </w:p>
    <w:p w14:paraId="5F5E3D2A">
      <w:pPr>
        <w:pStyle w:val="3"/>
        <w:bidi w:val="0"/>
        <w:rPr>
          <w:rFonts w:hint="eastAsia"/>
          <w:lang w:val="en-US" w:eastAsia="zh-CN"/>
        </w:rPr>
      </w:pPr>
      <w:bookmarkStart w:id="38" w:name="_Toc23478"/>
      <w:bookmarkStart w:id="39" w:name="_Toc5581"/>
      <w:r>
        <w:rPr>
          <w:rFonts w:hint="eastAsia"/>
          <w:lang w:val="en-US" w:eastAsia="zh-CN"/>
        </w:rPr>
        <w:t>（六）质量管理</w:t>
      </w:r>
      <w:bookmarkEnd w:id="38"/>
      <w:bookmarkEnd w:id="39"/>
    </w:p>
    <w:p w14:paraId="05137E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1.建立组织体系，成立教学质量保证机构</w:t>
      </w:r>
    </w:p>
    <w:p w14:paraId="0361E6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成立由学院领导、专业负责人、行业企业专家及校外教育专家组成的教学质量保证工作组，统筹规划与实施专业教学质量管理工作。工作组下设教学质量监控、课程建设、实践教学等专项小组，明确职责分工，定期召开教学质量分析会议，形成“学校—学院—专业”三级联动的质量保障组织体系，确保各项教学环节有效落实。</w:t>
      </w:r>
    </w:p>
    <w:p w14:paraId="1478C0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2.建立健全教学质量标准体系</w:t>
      </w:r>
    </w:p>
    <w:p w14:paraId="7C04D67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据国家专业教学标准、行业需求及认证要求，制定涵盖人才培养目标、课程体系、教学大纲、实践环节、毕业要求等方面的教学质量标准。明确理论教学、实验实训、项目实践等环节的质量要求，完善课程质量评估指标，推动课程标准与职业能力对接，实现教学过程规范化、标准化。</w:t>
      </w:r>
    </w:p>
    <w:p w14:paraId="2BD9EC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3.完善教学管理制度</w:t>
      </w:r>
    </w:p>
    <w:p w14:paraId="4E8B9AD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修订并落实包括教学运行管理、教师任职与考核、学生学业评价、教学资源管理等在内的系列教学管理制度。强化教学过程档案管理，建立教师教学能力发展及激励制度，推动教学管理信息化，保障教学秩序稳定和教学改革有序推进。</w:t>
      </w:r>
    </w:p>
    <w:p w14:paraId="028F6B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4.建立健全质量监控机制</w:t>
      </w:r>
    </w:p>
    <w:p w14:paraId="1FDB797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实施常态化教学质量监测，通过听课评课、教学检查、学生评教、专项评估等方式，对课堂教学、实践教学及毕业设计等环节进行全过程监控。建立教学质量数据平台，定期采集和分析教学运行数据，形成年度质量报告，实现对教学质量问题的及时发现与改进。</w:t>
      </w:r>
    </w:p>
    <w:p w14:paraId="3C8B4E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5.建立反馈机制及社会评价机制</w:t>
      </w:r>
    </w:p>
    <w:p w14:paraId="0D2F9CA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构建校内教学评价与校外社会反馈相结合的双循环机制。校内通过学生、教师、督导等多方反馈，持续优化教学；校外引入企业评价、毕业生跟踪调查及第三方评估，定期收集用人单位和行业对人才培养的反馈意见，形成“评价—反馈—改进”闭环，推动专业建设与社会需求动态适应。</w:t>
      </w:r>
    </w:p>
    <w:p w14:paraId="78C6506A">
      <w:pPr>
        <w:pStyle w:val="3"/>
        <w:bidi w:val="0"/>
        <w:rPr>
          <w:rFonts w:hint="eastAsia"/>
          <w:lang w:val="en-US" w:eastAsia="zh-CN"/>
        </w:rPr>
      </w:pPr>
      <w:r>
        <w:rPr>
          <w:rFonts w:hint="eastAsia"/>
          <w:lang w:val="en-US" w:eastAsia="zh-CN"/>
        </w:rPr>
        <w:t>（七）毕业要求</w:t>
      </w:r>
    </w:p>
    <w:p w14:paraId="154D478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bookmarkStart w:id="40" w:name="_Toc27960"/>
      <w:bookmarkStart w:id="41" w:name="_Toc7526"/>
      <w:bookmarkStart w:id="42" w:name="_Toc22818"/>
      <w:r>
        <w:rPr>
          <w:rFonts w:hint="eastAsia" w:ascii="Times New Roman" w:hAnsi="Times New Roman" w:eastAsia="宋体" w:cs="Times New Roman"/>
          <w:lang w:val="en-US" w:eastAsia="zh-CN"/>
        </w:rPr>
        <w:t>毕业要求是学生通过规定年限的学习，须修满专业人才培养方案所规定的学时学分，完成规定的教学活动，毕业时应达到的素质、知识和能力等方面要求。毕业要求应能支撑培养目标的有效达成。</w:t>
      </w:r>
    </w:p>
    <w:p w14:paraId="661FD8DE">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val="0"/>
          <w:sz w:val="21"/>
          <w:szCs w:val="21"/>
          <w:lang w:val="zh-CN" w:eastAsia="zh-CN"/>
        </w:rPr>
      </w:pPr>
      <w:bookmarkStart w:id="43" w:name="_Toc16516681"/>
      <w:r>
        <w:rPr>
          <w:rFonts w:hint="eastAsia" w:ascii="宋体" w:hAnsi="宋体" w:eastAsia="宋体" w:cs="宋体"/>
          <w:b/>
          <w:bCs w:val="0"/>
          <w:sz w:val="21"/>
          <w:szCs w:val="21"/>
          <w:lang w:val="en-US" w:eastAsia="zh-CN"/>
        </w:rPr>
        <w:t>1.</w:t>
      </w:r>
      <w:r>
        <w:rPr>
          <w:rFonts w:hint="eastAsia" w:ascii="宋体" w:hAnsi="宋体" w:eastAsia="宋体" w:cs="宋体"/>
          <w:b/>
          <w:bCs w:val="0"/>
          <w:sz w:val="21"/>
          <w:szCs w:val="21"/>
          <w:lang w:val="zh-CN" w:eastAsia="zh-CN"/>
        </w:rPr>
        <w:t>毕业学分要求</w:t>
      </w:r>
      <w:bookmarkEnd w:id="43"/>
    </w:p>
    <w:p w14:paraId="59633841">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color w:val="000000" w:themeColor="text1"/>
          <w:szCs w:val="24"/>
          <w:highlight w:val="none"/>
          <w:lang w:eastAsia="zh-CN"/>
          <w14:textFill>
            <w14:solidFill>
              <w14:schemeClr w14:val="tx1"/>
            </w14:solidFill>
          </w14:textFill>
        </w:rPr>
        <w:t>（</w:t>
      </w:r>
      <w:r>
        <w:rPr>
          <w:rFonts w:hint="eastAsia"/>
          <w:color w:val="000000" w:themeColor="text1"/>
          <w:szCs w:val="24"/>
          <w:highlight w:val="none"/>
          <w:lang w:val="en-US" w:eastAsia="zh-CN"/>
          <w14:textFill>
            <w14:solidFill>
              <w14:schemeClr w14:val="tx1"/>
            </w14:solidFill>
          </w14:textFill>
        </w:rPr>
        <w:t>1</w:t>
      </w:r>
      <w:r>
        <w:rPr>
          <w:rFonts w:hint="eastAsia"/>
          <w:color w:val="000000" w:themeColor="text1"/>
          <w:szCs w:val="24"/>
          <w:highlight w:val="none"/>
          <w:lang w:eastAsia="zh-CN"/>
          <w14:textFill>
            <w14:solidFill>
              <w14:schemeClr w14:val="tx1"/>
            </w14:solidFill>
          </w14:textFill>
        </w:rPr>
        <w:t>）</w:t>
      </w:r>
      <w:r>
        <w:rPr>
          <w:rFonts w:hint="eastAsia" w:ascii="Times New Roman" w:hAnsi="Times New Roman" w:eastAsia="宋体"/>
          <w:color w:val="000000" w:themeColor="text1"/>
          <w:szCs w:val="24"/>
          <w:highlight w:val="none"/>
          <w14:textFill>
            <w14:solidFill>
              <w14:schemeClr w14:val="tx1"/>
            </w14:solidFill>
          </w14:textFill>
        </w:rPr>
        <w:t>本专业修够</w:t>
      </w:r>
      <w:r>
        <w:rPr>
          <w:rFonts w:hint="eastAsia" w:ascii="Times New Roman" w:hAnsi="Times New Roman" w:eastAsia="宋体"/>
          <w:color w:val="000000" w:themeColor="text1"/>
          <w:szCs w:val="21"/>
          <w:highlight w:val="none"/>
          <w14:textFill>
            <w14:solidFill>
              <w14:schemeClr w14:val="tx1"/>
            </w14:solidFill>
          </w14:textFill>
        </w:rPr>
        <w:t>14</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eastAsia="宋体"/>
          <w:color w:val="000000" w:themeColor="text1"/>
          <w:szCs w:val="24"/>
          <w:highlight w:val="none"/>
          <w14:textFill>
            <w14:solidFill>
              <w14:schemeClr w14:val="tx1"/>
            </w14:solidFill>
          </w14:textFill>
        </w:rPr>
        <w:t>学分方能毕业。其中：</w:t>
      </w:r>
    </w:p>
    <w:p w14:paraId="58C0F779">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◆公共必修课共</w:t>
      </w:r>
      <w:r>
        <w:rPr>
          <w:rFonts w:hint="eastAsia" w:ascii="Times New Roman" w:hAnsi="Times New Roman" w:eastAsia="宋体"/>
          <w:color w:val="000000" w:themeColor="text1"/>
          <w:szCs w:val="21"/>
          <w:highlight w:val="none"/>
          <w14:textFill>
            <w14:solidFill>
              <w14:schemeClr w14:val="tx1"/>
            </w14:solidFill>
          </w14:textFill>
        </w:rPr>
        <w:t>48</w:t>
      </w:r>
      <w:r>
        <w:rPr>
          <w:rFonts w:hint="eastAsia" w:ascii="Times New Roman" w:hAnsi="Times New Roman" w:eastAsia="宋体"/>
          <w:color w:val="000000" w:themeColor="text1"/>
          <w:szCs w:val="24"/>
          <w:highlight w:val="none"/>
          <w14:textFill>
            <w14:solidFill>
              <w14:schemeClr w14:val="tx1"/>
            </w14:solidFill>
          </w14:textFill>
        </w:rPr>
        <w:t>学分。</w:t>
      </w:r>
    </w:p>
    <w:p w14:paraId="033599C1">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◆专业技能课、专业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拓展</w:t>
      </w:r>
      <w:r>
        <w:rPr>
          <w:rFonts w:hint="eastAsia" w:ascii="Times New Roman" w:hAnsi="Times New Roman" w:eastAsia="宋体"/>
          <w:color w:val="000000" w:themeColor="text1"/>
          <w:szCs w:val="24"/>
          <w:highlight w:val="none"/>
          <w14:textFill>
            <w14:solidFill>
              <w14:schemeClr w14:val="tx1"/>
            </w14:solidFill>
          </w14:textFill>
        </w:rPr>
        <w:t>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实践</w:t>
      </w:r>
      <w:r>
        <w:rPr>
          <w:rFonts w:hint="eastAsia" w:ascii="Times New Roman" w:hAnsi="Times New Roman" w:eastAsia="宋体"/>
          <w:color w:val="000000" w:themeColor="text1"/>
          <w:szCs w:val="24"/>
          <w:highlight w:val="none"/>
          <w14:textFill>
            <w14:solidFill>
              <w14:schemeClr w14:val="tx1"/>
            </w14:solidFill>
          </w14:textFill>
        </w:rPr>
        <w:t>课共</w:t>
      </w:r>
      <w:r>
        <w:rPr>
          <w:rFonts w:hint="eastAsia" w:ascii="Times New Roman" w:hAnsi="Times New Roman" w:eastAsia="宋体"/>
          <w:color w:val="000000" w:themeColor="text1"/>
          <w:szCs w:val="21"/>
          <w:highlight w:val="none"/>
          <w14:textFill>
            <w14:solidFill>
              <w14:schemeClr w14:val="tx1"/>
            </w14:solidFill>
          </w14:textFill>
        </w:rPr>
        <w:t>88</w:t>
      </w:r>
      <w:r>
        <w:rPr>
          <w:rFonts w:hint="eastAsia" w:ascii="Times New Roman" w:hAnsi="Times New Roman" w:eastAsia="宋体"/>
          <w:color w:val="000000" w:themeColor="text1"/>
          <w:szCs w:val="24"/>
          <w:highlight w:val="none"/>
          <w14:textFill>
            <w14:solidFill>
              <w14:schemeClr w14:val="tx1"/>
            </w14:solidFill>
          </w14:textFill>
        </w:rPr>
        <w:t>学分。</w:t>
      </w:r>
    </w:p>
    <w:p w14:paraId="7A28FC93">
      <w:pPr>
        <w:adjustRightInd w:val="0"/>
        <w:snapToGrid w:val="0"/>
        <w:spacing w:line="360" w:lineRule="exact"/>
        <w:ind w:firstLine="420" w:firstLineChars="200"/>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◆公共选修课</w:t>
      </w:r>
      <w:r>
        <w:rPr>
          <w:rFonts w:hint="eastAsia" w:ascii="Times New Roman" w:hAnsi="Times New Roman" w:eastAsia="宋体"/>
          <w:color w:val="000000" w:themeColor="text1"/>
          <w:szCs w:val="21"/>
          <w:highlight w:val="none"/>
          <w:lang w:val="en-US" w:eastAsia="zh-CN"/>
          <w14:textFill>
            <w14:solidFill>
              <w14:schemeClr w14:val="tx1"/>
            </w14:solidFill>
          </w14:textFill>
        </w:rPr>
        <w:t>8</w:t>
      </w:r>
      <w:r>
        <w:rPr>
          <w:rFonts w:hint="eastAsia" w:ascii="Times New Roman" w:hAnsi="Times New Roman" w:eastAsia="宋体"/>
          <w:color w:val="000000" w:themeColor="text1"/>
          <w:szCs w:val="24"/>
          <w:highlight w:val="none"/>
          <w14:textFill>
            <w14:solidFill>
              <w14:schemeClr w14:val="tx1"/>
            </w14:solidFill>
          </w14:textFill>
        </w:rPr>
        <w:t>学分。</w:t>
      </w:r>
    </w:p>
    <w:p w14:paraId="4625F76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cs="Times New Roman"/>
          <w:lang w:val="en-US" w:eastAsia="zh-CN"/>
        </w:rPr>
        <w:t>（2）</w:t>
      </w:r>
      <w:r>
        <w:rPr>
          <w:rFonts w:hint="eastAsia" w:ascii="Times New Roman" w:hAnsi="Times New Roman" w:eastAsia="宋体" w:cs="Times New Roman"/>
          <w:lang w:val="en-US" w:eastAsia="zh-CN"/>
        </w:rPr>
        <w:t>鼓励学生参加各类职业技能竞赛、学科竞赛、创新设计、科技活动、艺术实践、社团活动、志愿服务等，提高学生的综合能力和职业素养，学生取得的成果学分转换情况详见下表：</w:t>
      </w:r>
    </w:p>
    <w:p w14:paraId="61DC6DEA">
      <w:pPr>
        <w:spacing w:line="400" w:lineRule="exact"/>
        <w:jc w:val="center"/>
        <w:rPr>
          <w:rFonts w:hint="eastAsia" w:ascii="Times New Roman" w:hAnsi="Times New Roman"/>
          <w:szCs w:val="21"/>
        </w:rPr>
      </w:pPr>
      <w:r>
        <w:rPr>
          <w:rFonts w:hint="eastAsia" w:ascii="Times New Roman" w:hAnsi="Times New Roman"/>
          <w:szCs w:val="21"/>
          <w:lang w:val="en-US" w:eastAsia="zh-CN"/>
        </w:rPr>
        <w:t>大数据</w:t>
      </w:r>
      <w:r>
        <w:rPr>
          <w:rFonts w:hint="eastAsia" w:ascii="Times New Roman" w:hAnsi="Times New Roman"/>
          <w:szCs w:val="21"/>
        </w:rPr>
        <w:t>技术专业学分转换情况表</w:t>
      </w:r>
    </w:p>
    <w:tbl>
      <w:tblPr>
        <w:tblStyle w:val="20"/>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2290"/>
        <w:gridCol w:w="1000"/>
        <w:gridCol w:w="1223"/>
        <w:gridCol w:w="959"/>
        <w:gridCol w:w="2899"/>
      </w:tblGrid>
      <w:tr w14:paraId="4078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60" w:type="dxa"/>
            <w:vAlign w:val="center"/>
          </w:tcPr>
          <w:p w14:paraId="6D8129D0">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4"/>
                <w:sz w:val="18"/>
              </w:rPr>
              <w:t>序号</w:t>
            </w:r>
          </w:p>
        </w:tc>
        <w:tc>
          <w:tcPr>
            <w:tcW w:w="2290" w:type="dxa"/>
            <w:vAlign w:val="center"/>
          </w:tcPr>
          <w:p w14:paraId="5BE3AA1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5"/>
                <w:sz w:val="18"/>
              </w:rPr>
              <w:t>项目</w:t>
            </w:r>
          </w:p>
        </w:tc>
        <w:tc>
          <w:tcPr>
            <w:tcW w:w="2223" w:type="dxa"/>
            <w:gridSpan w:val="2"/>
            <w:vAlign w:val="center"/>
          </w:tcPr>
          <w:p w14:paraId="1B004872">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4"/>
                <w:sz w:val="18"/>
              </w:rPr>
              <w:t>要求</w:t>
            </w:r>
          </w:p>
        </w:tc>
        <w:tc>
          <w:tcPr>
            <w:tcW w:w="959" w:type="dxa"/>
            <w:vAlign w:val="center"/>
          </w:tcPr>
          <w:p w14:paraId="45E3C6F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6"/>
                <w:sz w:val="18"/>
              </w:rPr>
              <w:t>学分</w:t>
            </w:r>
          </w:p>
        </w:tc>
        <w:tc>
          <w:tcPr>
            <w:tcW w:w="2899" w:type="dxa"/>
            <w:vAlign w:val="center"/>
          </w:tcPr>
          <w:p w14:paraId="7FE271D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2"/>
                <w:sz w:val="18"/>
              </w:rPr>
              <w:t>替换的课程或课程类型</w:t>
            </w:r>
          </w:p>
        </w:tc>
      </w:tr>
      <w:tr w14:paraId="16D3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60" w:type="dxa"/>
            <w:vAlign w:val="center"/>
          </w:tcPr>
          <w:p w14:paraId="31FDBE7E">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1</w:t>
            </w:r>
          </w:p>
        </w:tc>
        <w:tc>
          <w:tcPr>
            <w:tcW w:w="2290" w:type="dxa"/>
            <w:vAlign w:val="center"/>
          </w:tcPr>
          <w:p w14:paraId="155F057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计算机技术与软件专</w:t>
            </w:r>
            <w:r>
              <w:rPr>
                <w:rFonts w:ascii="Times New Roman" w:hAnsi="Times New Roman" w:eastAsia="宋体"/>
                <w:spacing w:val="-2"/>
                <w:sz w:val="18"/>
              </w:rPr>
              <w:t>业技术资格</w:t>
            </w:r>
          </w:p>
        </w:tc>
        <w:tc>
          <w:tcPr>
            <w:tcW w:w="2223" w:type="dxa"/>
            <w:gridSpan w:val="2"/>
            <w:vAlign w:val="center"/>
          </w:tcPr>
          <w:p w14:paraId="605C9BA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通过考试并获得证书</w:t>
            </w:r>
          </w:p>
        </w:tc>
        <w:tc>
          <w:tcPr>
            <w:tcW w:w="959" w:type="dxa"/>
            <w:vAlign w:val="center"/>
          </w:tcPr>
          <w:p w14:paraId="0ACA583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899" w:type="dxa"/>
            <w:vAlign w:val="center"/>
          </w:tcPr>
          <w:p w14:paraId="53D70156">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专业基础课</w:t>
            </w:r>
          </w:p>
        </w:tc>
      </w:tr>
      <w:tr w14:paraId="3297C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0" w:type="dxa"/>
            <w:vAlign w:val="center"/>
          </w:tcPr>
          <w:p w14:paraId="2E839193">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2</w:t>
            </w:r>
          </w:p>
        </w:tc>
        <w:tc>
          <w:tcPr>
            <w:tcW w:w="2290" w:type="dxa"/>
            <w:vAlign w:val="center"/>
          </w:tcPr>
          <w:p w14:paraId="4646195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大数据应用开发（Python）</w:t>
            </w:r>
          </w:p>
        </w:tc>
        <w:tc>
          <w:tcPr>
            <w:tcW w:w="2223" w:type="dxa"/>
            <w:gridSpan w:val="2"/>
            <w:vAlign w:val="center"/>
          </w:tcPr>
          <w:p w14:paraId="2F053FE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通过考试并获得证书</w:t>
            </w:r>
          </w:p>
        </w:tc>
        <w:tc>
          <w:tcPr>
            <w:tcW w:w="959" w:type="dxa"/>
            <w:vAlign w:val="center"/>
          </w:tcPr>
          <w:p w14:paraId="55634C62">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899" w:type="dxa"/>
            <w:vAlign w:val="center"/>
          </w:tcPr>
          <w:p w14:paraId="1BE6A50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专业核心课程</w:t>
            </w:r>
          </w:p>
        </w:tc>
      </w:tr>
      <w:tr w14:paraId="62FB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60" w:type="dxa"/>
            <w:vAlign w:val="center"/>
          </w:tcPr>
          <w:p w14:paraId="425A3C85">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3</w:t>
            </w:r>
          </w:p>
        </w:tc>
        <w:tc>
          <w:tcPr>
            <w:tcW w:w="2290" w:type="dxa"/>
            <w:vAlign w:val="center"/>
          </w:tcPr>
          <w:p w14:paraId="71EDC86F">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大数据分析与应用</w:t>
            </w:r>
          </w:p>
        </w:tc>
        <w:tc>
          <w:tcPr>
            <w:tcW w:w="2223" w:type="dxa"/>
            <w:gridSpan w:val="2"/>
            <w:vAlign w:val="center"/>
          </w:tcPr>
          <w:p w14:paraId="6FBE72A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通过考试并获得证书</w:t>
            </w:r>
          </w:p>
        </w:tc>
        <w:tc>
          <w:tcPr>
            <w:tcW w:w="959" w:type="dxa"/>
            <w:vAlign w:val="center"/>
          </w:tcPr>
          <w:p w14:paraId="10B1D078">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899" w:type="dxa"/>
            <w:vAlign w:val="center"/>
          </w:tcPr>
          <w:p w14:paraId="38DEFD4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专业核心课程</w:t>
            </w:r>
          </w:p>
        </w:tc>
      </w:tr>
      <w:tr w14:paraId="26408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60" w:type="dxa"/>
            <w:vAlign w:val="center"/>
          </w:tcPr>
          <w:p w14:paraId="1900D71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4</w:t>
            </w:r>
          </w:p>
        </w:tc>
        <w:tc>
          <w:tcPr>
            <w:tcW w:w="2290" w:type="dxa"/>
            <w:vAlign w:val="center"/>
          </w:tcPr>
          <w:p w14:paraId="6BBD308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大数据工程化处理与</w:t>
            </w:r>
            <w:r>
              <w:rPr>
                <w:rFonts w:ascii="Times New Roman" w:hAnsi="Times New Roman" w:eastAsia="宋体"/>
                <w:spacing w:val="-4"/>
                <w:sz w:val="18"/>
              </w:rPr>
              <w:t>应用</w:t>
            </w:r>
          </w:p>
        </w:tc>
        <w:tc>
          <w:tcPr>
            <w:tcW w:w="2223" w:type="dxa"/>
            <w:gridSpan w:val="2"/>
            <w:vAlign w:val="center"/>
          </w:tcPr>
          <w:p w14:paraId="35BBC149">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通过考试并获得证书</w:t>
            </w:r>
          </w:p>
        </w:tc>
        <w:tc>
          <w:tcPr>
            <w:tcW w:w="959" w:type="dxa"/>
            <w:vAlign w:val="center"/>
          </w:tcPr>
          <w:p w14:paraId="7C3D13B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899" w:type="dxa"/>
            <w:vAlign w:val="center"/>
          </w:tcPr>
          <w:p w14:paraId="36E8D7D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专业核心课程</w:t>
            </w:r>
          </w:p>
        </w:tc>
      </w:tr>
      <w:tr w14:paraId="3884E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restart"/>
            <w:tcBorders>
              <w:bottom w:val="nil"/>
            </w:tcBorders>
            <w:vAlign w:val="center"/>
          </w:tcPr>
          <w:p w14:paraId="2E7A1C30">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290" w:type="dxa"/>
            <w:vMerge w:val="restart"/>
            <w:tcBorders>
              <w:bottom w:val="nil"/>
            </w:tcBorders>
            <w:vAlign w:val="center"/>
          </w:tcPr>
          <w:p w14:paraId="3056BB7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职业技能竞赛</w:t>
            </w:r>
          </w:p>
        </w:tc>
        <w:tc>
          <w:tcPr>
            <w:tcW w:w="1000" w:type="dxa"/>
            <w:vMerge w:val="restart"/>
            <w:tcBorders>
              <w:bottom w:val="nil"/>
            </w:tcBorders>
            <w:vAlign w:val="center"/>
          </w:tcPr>
          <w:p w14:paraId="63E85C4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9"/>
                <w:sz w:val="18"/>
              </w:rPr>
              <w:t>国家级</w:t>
            </w:r>
          </w:p>
        </w:tc>
        <w:tc>
          <w:tcPr>
            <w:tcW w:w="1223" w:type="dxa"/>
            <w:vAlign w:val="center"/>
          </w:tcPr>
          <w:p w14:paraId="5D0CCEC6">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53505508">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0"/>
                <w:sz w:val="18"/>
              </w:rPr>
              <w:t>10</w:t>
            </w:r>
          </w:p>
        </w:tc>
        <w:tc>
          <w:tcPr>
            <w:tcW w:w="2899" w:type="dxa"/>
            <w:vMerge w:val="restart"/>
            <w:tcBorders>
              <w:bottom w:val="nil"/>
            </w:tcBorders>
            <w:vAlign w:val="center"/>
          </w:tcPr>
          <w:p w14:paraId="159EA8A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专业基础课、专业核心课</w:t>
            </w:r>
          </w:p>
        </w:tc>
      </w:tr>
      <w:tr w14:paraId="32F8E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40858E9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0F5EE60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bottom w:val="nil"/>
            </w:tcBorders>
            <w:vAlign w:val="center"/>
          </w:tcPr>
          <w:p w14:paraId="4C216939">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3FBFFF9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60B6A06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8</w:t>
            </w:r>
          </w:p>
        </w:tc>
        <w:tc>
          <w:tcPr>
            <w:tcW w:w="2899" w:type="dxa"/>
            <w:vMerge w:val="continue"/>
            <w:tcBorders>
              <w:top w:val="nil"/>
              <w:bottom w:val="nil"/>
            </w:tcBorders>
            <w:vAlign w:val="center"/>
          </w:tcPr>
          <w:p w14:paraId="4B64A5C4">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13D92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5582264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6EE1F57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1A3DD22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6E47A9F0">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三等奖</w:t>
            </w:r>
          </w:p>
        </w:tc>
        <w:tc>
          <w:tcPr>
            <w:tcW w:w="959" w:type="dxa"/>
            <w:vAlign w:val="center"/>
          </w:tcPr>
          <w:p w14:paraId="02AD8583">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899" w:type="dxa"/>
            <w:vMerge w:val="continue"/>
            <w:tcBorders>
              <w:top w:val="nil"/>
              <w:bottom w:val="nil"/>
            </w:tcBorders>
            <w:vAlign w:val="center"/>
          </w:tcPr>
          <w:p w14:paraId="3A07735D">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6B12C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06CABF9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5AED159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restart"/>
            <w:tcBorders>
              <w:bottom w:val="nil"/>
            </w:tcBorders>
            <w:vAlign w:val="center"/>
          </w:tcPr>
          <w:p w14:paraId="05FE1D3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5"/>
                <w:sz w:val="18"/>
              </w:rPr>
              <w:t>省级</w:t>
            </w:r>
          </w:p>
        </w:tc>
        <w:tc>
          <w:tcPr>
            <w:tcW w:w="1223" w:type="dxa"/>
            <w:vAlign w:val="center"/>
          </w:tcPr>
          <w:p w14:paraId="047934A8">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53709B96">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8</w:t>
            </w:r>
          </w:p>
        </w:tc>
        <w:tc>
          <w:tcPr>
            <w:tcW w:w="2899" w:type="dxa"/>
            <w:vMerge w:val="continue"/>
            <w:tcBorders>
              <w:top w:val="nil"/>
              <w:bottom w:val="nil"/>
            </w:tcBorders>
            <w:vAlign w:val="center"/>
          </w:tcPr>
          <w:p w14:paraId="39D4F20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40DA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2C8E362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14C4476F">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bottom w:val="nil"/>
            </w:tcBorders>
            <w:vAlign w:val="center"/>
          </w:tcPr>
          <w:p w14:paraId="0C69E4C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65801E92">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40926E5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899" w:type="dxa"/>
            <w:vMerge w:val="continue"/>
            <w:tcBorders>
              <w:top w:val="nil"/>
              <w:bottom w:val="nil"/>
            </w:tcBorders>
            <w:vAlign w:val="center"/>
          </w:tcPr>
          <w:p w14:paraId="3B7173A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5954B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661984C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3DCFDF17">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7DB6778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34793D9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三等奖</w:t>
            </w:r>
          </w:p>
        </w:tc>
        <w:tc>
          <w:tcPr>
            <w:tcW w:w="959" w:type="dxa"/>
            <w:vAlign w:val="center"/>
          </w:tcPr>
          <w:p w14:paraId="114FF1EA">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3</w:t>
            </w:r>
          </w:p>
        </w:tc>
        <w:tc>
          <w:tcPr>
            <w:tcW w:w="2899" w:type="dxa"/>
            <w:vMerge w:val="continue"/>
            <w:tcBorders>
              <w:top w:val="nil"/>
            </w:tcBorders>
            <w:vAlign w:val="center"/>
          </w:tcPr>
          <w:p w14:paraId="2E7E2ED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0F749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338C621D">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6A9FBB0E">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restart"/>
            <w:tcBorders>
              <w:bottom w:val="nil"/>
            </w:tcBorders>
            <w:vAlign w:val="center"/>
          </w:tcPr>
          <w:p w14:paraId="755EE7E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地市或院级</w:t>
            </w:r>
          </w:p>
        </w:tc>
        <w:tc>
          <w:tcPr>
            <w:tcW w:w="1223" w:type="dxa"/>
            <w:vAlign w:val="center"/>
          </w:tcPr>
          <w:p w14:paraId="5EA7A4F3">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617C5E66">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4</w:t>
            </w:r>
          </w:p>
        </w:tc>
        <w:tc>
          <w:tcPr>
            <w:tcW w:w="2899" w:type="dxa"/>
            <w:vMerge w:val="restart"/>
            <w:tcBorders>
              <w:bottom w:val="nil"/>
            </w:tcBorders>
            <w:vAlign w:val="center"/>
          </w:tcPr>
          <w:p w14:paraId="54D33348">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专业基础课、专业核心课</w:t>
            </w:r>
          </w:p>
        </w:tc>
      </w:tr>
      <w:tr w14:paraId="41ED2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tcBorders>
            <w:vAlign w:val="center"/>
          </w:tcPr>
          <w:p w14:paraId="5C5A1080">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tcBorders>
            <w:vAlign w:val="center"/>
          </w:tcPr>
          <w:p w14:paraId="7617A59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361C13C9">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6AF1D15A">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1EB229FF">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2</w:t>
            </w:r>
          </w:p>
        </w:tc>
        <w:tc>
          <w:tcPr>
            <w:tcW w:w="2899" w:type="dxa"/>
            <w:vMerge w:val="continue"/>
            <w:tcBorders>
              <w:top w:val="nil"/>
            </w:tcBorders>
            <w:vAlign w:val="center"/>
          </w:tcPr>
          <w:p w14:paraId="50D0D21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3F2B0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restart"/>
            <w:tcBorders>
              <w:bottom w:val="nil"/>
            </w:tcBorders>
            <w:vAlign w:val="center"/>
          </w:tcPr>
          <w:p w14:paraId="5E92BA5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290" w:type="dxa"/>
            <w:vMerge w:val="restart"/>
            <w:tcBorders>
              <w:bottom w:val="nil"/>
            </w:tcBorders>
            <w:vAlign w:val="center"/>
          </w:tcPr>
          <w:p w14:paraId="44FD7C0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大学生创新创业大赛</w:t>
            </w:r>
            <w:r>
              <w:rPr>
                <w:rFonts w:ascii="Times New Roman" w:hAnsi="Times New Roman" w:eastAsia="宋体"/>
                <w:spacing w:val="4"/>
                <w:sz w:val="18"/>
              </w:rPr>
              <w:t xml:space="preserve"> </w:t>
            </w:r>
            <w:r>
              <w:rPr>
                <w:rFonts w:ascii="Times New Roman" w:hAnsi="Times New Roman" w:eastAsia="宋体"/>
                <w:spacing w:val="-2"/>
                <w:sz w:val="18"/>
              </w:rPr>
              <w:t>/挑战杯</w:t>
            </w:r>
          </w:p>
        </w:tc>
        <w:tc>
          <w:tcPr>
            <w:tcW w:w="1000" w:type="dxa"/>
            <w:vMerge w:val="restart"/>
            <w:tcBorders>
              <w:bottom w:val="nil"/>
            </w:tcBorders>
            <w:vAlign w:val="center"/>
          </w:tcPr>
          <w:p w14:paraId="0C80A7E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9"/>
                <w:sz w:val="18"/>
              </w:rPr>
              <w:t>国家级</w:t>
            </w:r>
          </w:p>
        </w:tc>
        <w:tc>
          <w:tcPr>
            <w:tcW w:w="1223" w:type="dxa"/>
            <w:vAlign w:val="center"/>
          </w:tcPr>
          <w:p w14:paraId="5B2707A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7EF7B11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0"/>
                <w:sz w:val="18"/>
              </w:rPr>
              <w:t>10</w:t>
            </w:r>
          </w:p>
        </w:tc>
        <w:tc>
          <w:tcPr>
            <w:tcW w:w="2899" w:type="dxa"/>
            <w:vMerge w:val="restart"/>
            <w:tcBorders>
              <w:bottom w:val="nil"/>
            </w:tcBorders>
            <w:vAlign w:val="center"/>
          </w:tcPr>
          <w:p w14:paraId="34A40FDE">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spacing w:val="3"/>
                <w:sz w:val="18"/>
              </w:rPr>
            </w:pPr>
            <w:r>
              <w:rPr>
                <w:rFonts w:hint="eastAsia" w:ascii="Times New Roman" w:hAnsi="Times New Roman" w:eastAsia="宋体"/>
                <w:spacing w:val="3"/>
                <w:sz w:val="18"/>
              </w:rPr>
              <w:t>职业发展与就业指导</w:t>
            </w:r>
          </w:p>
          <w:p w14:paraId="7BBD721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sz w:val="18"/>
                <w:lang w:eastAsia="zh-CN"/>
              </w:rPr>
            </w:pPr>
            <w:r>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t>创新创业教育</w:t>
            </w:r>
          </w:p>
        </w:tc>
      </w:tr>
      <w:tr w14:paraId="68E7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13F96C71">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47237310">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bottom w:val="nil"/>
            </w:tcBorders>
            <w:vAlign w:val="center"/>
          </w:tcPr>
          <w:p w14:paraId="740FB5EF">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4139702F">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50DFD09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8</w:t>
            </w:r>
          </w:p>
        </w:tc>
        <w:tc>
          <w:tcPr>
            <w:tcW w:w="2899" w:type="dxa"/>
            <w:vMerge w:val="continue"/>
            <w:tcBorders>
              <w:top w:val="nil"/>
              <w:bottom w:val="nil"/>
            </w:tcBorders>
            <w:vAlign w:val="center"/>
          </w:tcPr>
          <w:p w14:paraId="05C038B4">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7E63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1B6622A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0200EC04">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3544D33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1B989FFE">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三等奖</w:t>
            </w:r>
          </w:p>
        </w:tc>
        <w:tc>
          <w:tcPr>
            <w:tcW w:w="959" w:type="dxa"/>
            <w:vAlign w:val="center"/>
          </w:tcPr>
          <w:p w14:paraId="59252DF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899" w:type="dxa"/>
            <w:vMerge w:val="continue"/>
            <w:tcBorders>
              <w:top w:val="nil"/>
              <w:bottom w:val="nil"/>
            </w:tcBorders>
            <w:vAlign w:val="center"/>
          </w:tcPr>
          <w:p w14:paraId="6D02C6C0">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5825C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6DB1ADAD">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1026F0F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restart"/>
            <w:tcBorders>
              <w:bottom w:val="nil"/>
            </w:tcBorders>
            <w:vAlign w:val="center"/>
          </w:tcPr>
          <w:p w14:paraId="2DB18ABE">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5"/>
                <w:sz w:val="18"/>
              </w:rPr>
              <w:t>省级</w:t>
            </w:r>
          </w:p>
        </w:tc>
        <w:tc>
          <w:tcPr>
            <w:tcW w:w="1223" w:type="dxa"/>
            <w:vAlign w:val="center"/>
          </w:tcPr>
          <w:p w14:paraId="1B2EE5A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4C57A9C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8</w:t>
            </w:r>
          </w:p>
        </w:tc>
        <w:tc>
          <w:tcPr>
            <w:tcW w:w="2899" w:type="dxa"/>
            <w:vMerge w:val="continue"/>
            <w:tcBorders>
              <w:top w:val="nil"/>
              <w:bottom w:val="nil"/>
            </w:tcBorders>
            <w:vAlign w:val="center"/>
          </w:tcPr>
          <w:p w14:paraId="266493BE">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666AD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2998D4CE">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75917EBF">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bottom w:val="nil"/>
            </w:tcBorders>
            <w:vAlign w:val="center"/>
          </w:tcPr>
          <w:p w14:paraId="1E4BFEC1">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3BD9CA6A">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3AB06999">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899" w:type="dxa"/>
            <w:vMerge w:val="continue"/>
            <w:tcBorders>
              <w:top w:val="nil"/>
              <w:bottom w:val="nil"/>
            </w:tcBorders>
            <w:vAlign w:val="center"/>
          </w:tcPr>
          <w:p w14:paraId="20C99E2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66BB0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tcBorders>
            <w:vAlign w:val="center"/>
          </w:tcPr>
          <w:p w14:paraId="1491809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tcBorders>
            <w:vAlign w:val="center"/>
          </w:tcPr>
          <w:p w14:paraId="2233AD0D">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24FAF3A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02B551C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三等奖</w:t>
            </w:r>
          </w:p>
        </w:tc>
        <w:tc>
          <w:tcPr>
            <w:tcW w:w="959" w:type="dxa"/>
            <w:vAlign w:val="center"/>
          </w:tcPr>
          <w:p w14:paraId="0706B4A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3</w:t>
            </w:r>
          </w:p>
        </w:tc>
        <w:tc>
          <w:tcPr>
            <w:tcW w:w="2899" w:type="dxa"/>
            <w:vMerge w:val="continue"/>
            <w:tcBorders>
              <w:top w:val="nil"/>
            </w:tcBorders>
            <w:vAlign w:val="center"/>
          </w:tcPr>
          <w:p w14:paraId="5AF5D74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2984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restart"/>
            <w:vAlign w:val="center"/>
          </w:tcPr>
          <w:p w14:paraId="16B9A36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7</w:t>
            </w:r>
          </w:p>
        </w:tc>
        <w:tc>
          <w:tcPr>
            <w:tcW w:w="2290" w:type="dxa"/>
            <w:vMerge w:val="restart"/>
            <w:vAlign w:val="center"/>
          </w:tcPr>
          <w:p w14:paraId="75B214FA">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世界技能大赛</w:t>
            </w:r>
          </w:p>
        </w:tc>
        <w:tc>
          <w:tcPr>
            <w:tcW w:w="1000" w:type="dxa"/>
            <w:vMerge w:val="restart"/>
            <w:vAlign w:val="center"/>
          </w:tcPr>
          <w:p w14:paraId="3BC28982">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世界级</w:t>
            </w:r>
          </w:p>
        </w:tc>
        <w:tc>
          <w:tcPr>
            <w:tcW w:w="1223" w:type="dxa"/>
            <w:vAlign w:val="center"/>
          </w:tcPr>
          <w:p w14:paraId="5B60077F">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5"/>
                <w:sz w:val="18"/>
              </w:rPr>
              <w:t>金奖</w:t>
            </w:r>
          </w:p>
        </w:tc>
        <w:tc>
          <w:tcPr>
            <w:tcW w:w="959" w:type="dxa"/>
            <w:vAlign w:val="center"/>
          </w:tcPr>
          <w:p w14:paraId="16039C65">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20</w:t>
            </w:r>
          </w:p>
        </w:tc>
        <w:tc>
          <w:tcPr>
            <w:tcW w:w="2899" w:type="dxa"/>
            <w:vMerge w:val="restart"/>
            <w:vAlign w:val="center"/>
          </w:tcPr>
          <w:p w14:paraId="6CE2521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专业基础课、专业核心课</w:t>
            </w:r>
          </w:p>
        </w:tc>
      </w:tr>
      <w:tr w14:paraId="0306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vAlign w:val="center"/>
          </w:tcPr>
          <w:p w14:paraId="07DC96A7">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2290" w:type="dxa"/>
            <w:vMerge w:val="continue"/>
            <w:vAlign w:val="center"/>
          </w:tcPr>
          <w:p w14:paraId="4B270CDF">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1000" w:type="dxa"/>
            <w:vMerge w:val="continue"/>
            <w:vAlign w:val="center"/>
          </w:tcPr>
          <w:p w14:paraId="2D03DF06">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1223" w:type="dxa"/>
            <w:vAlign w:val="center"/>
          </w:tcPr>
          <w:p w14:paraId="1CB9D103">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银奖</w:t>
            </w:r>
          </w:p>
        </w:tc>
        <w:tc>
          <w:tcPr>
            <w:tcW w:w="959" w:type="dxa"/>
            <w:vAlign w:val="center"/>
          </w:tcPr>
          <w:p w14:paraId="70FB06E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16</w:t>
            </w:r>
          </w:p>
        </w:tc>
        <w:tc>
          <w:tcPr>
            <w:tcW w:w="2899" w:type="dxa"/>
            <w:vMerge w:val="continue"/>
            <w:vAlign w:val="center"/>
          </w:tcPr>
          <w:p w14:paraId="6465389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r>
      <w:tr w14:paraId="5B2D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vAlign w:val="center"/>
          </w:tcPr>
          <w:p w14:paraId="295555E0">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2290" w:type="dxa"/>
            <w:vMerge w:val="continue"/>
            <w:vAlign w:val="center"/>
          </w:tcPr>
          <w:p w14:paraId="63144A6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1000" w:type="dxa"/>
            <w:vMerge w:val="continue"/>
            <w:vAlign w:val="center"/>
          </w:tcPr>
          <w:p w14:paraId="3180A0C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1223" w:type="dxa"/>
            <w:vAlign w:val="center"/>
          </w:tcPr>
          <w:p w14:paraId="7C8EFDF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铜奖</w:t>
            </w:r>
          </w:p>
        </w:tc>
        <w:tc>
          <w:tcPr>
            <w:tcW w:w="959" w:type="dxa"/>
            <w:vAlign w:val="center"/>
          </w:tcPr>
          <w:p w14:paraId="4628DEC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10</w:t>
            </w:r>
          </w:p>
        </w:tc>
        <w:tc>
          <w:tcPr>
            <w:tcW w:w="2899" w:type="dxa"/>
            <w:vMerge w:val="continue"/>
            <w:vAlign w:val="center"/>
          </w:tcPr>
          <w:p w14:paraId="78C7956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r>
    </w:tbl>
    <w:p w14:paraId="7171835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zh-CN" w:eastAsia="zh-CN"/>
        </w:rPr>
      </w:pPr>
      <w:bookmarkStart w:id="44" w:name="_Toc16516682"/>
      <w:r>
        <w:rPr>
          <w:rFonts w:hint="eastAsia" w:ascii="Times New Roman" w:hAnsi="Times New Roman" w:eastAsia="宋体" w:cs="Times New Roman"/>
          <w:lang w:val="en-US" w:eastAsia="zh-CN"/>
        </w:rPr>
        <w:t>注：“替换的课程或课程类型”可以是具体的一类或几类课程，也可以是具体的一门或几门课程。</w:t>
      </w:r>
    </w:p>
    <w:p w14:paraId="3676B601">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2.毕业证书要求</w:t>
      </w:r>
    </w:p>
    <w:p w14:paraId="682A991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至少获得以下</w:t>
      </w:r>
      <w:r>
        <w:rPr>
          <w:rFonts w:hint="eastAsia" w:ascii="Times New Roman" w:hAnsi="Times New Roman" w:cs="Times New Roman"/>
          <w:lang w:val="en-US" w:eastAsia="zh-CN"/>
        </w:rPr>
        <w:t>职业</w:t>
      </w:r>
      <w:r>
        <w:rPr>
          <w:rFonts w:hint="eastAsia" w:ascii="Times New Roman" w:hAnsi="Times New Roman" w:eastAsia="宋体" w:cs="Times New Roman"/>
          <w:lang w:val="en-US" w:eastAsia="zh-CN"/>
        </w:rPr>
        <w:t>资格证书的一项。</w:t>
      </w:r>
    </w:p>
    <w:p w14:paraId="3E79BEA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◆大数据工程化处理与应用</w:t>
      </w:r>
    </w:p>
    <w:p w14:paraId="4BDE2ED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◆大数据分析与应用</w:t>
      </w:r>
    </w:p>
    <w:p w14:paraId="52A8EA3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◆大数据应用开发（Python）</w:t>
      </w:r>
    </w:p>
    <w:p w14:paraId="1FB138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◆计算机技术与软件专业技术资格</w:t>
      </w:r>
    </w:p>
    <w:p w14:paraId="3C6FBDFD">
      <w:pPr>
        <w:adjustRightInd w:val="0"/>
        <w:snapToGrid w:val="0"/>
        <w:spacing w:line="400" w:lineRule="exact"/>
        <w:ind w:firstLine="420" w:firstLineChars="200"/>
        <w:rPr>
          <w:rFonts w:hint="eastAsia" w:ascii="Times New Roman" w:hAnsi="Times New Roman" w:eastAsia="宋体" w:cs="Times New Roman"/>
          <w:lang w:val="en-US" w:eastAsia="zh-CN"/>
        </w:rPr>
      </w:pPr>
      <w:r>
        <w:rPr>
          <w:rFonts w:hint="eastAsia"/>
          <w:color w:val="000000" w:themeColor="text1"/>
          <w:lang w:val="en-US" w:eastAsia="zh-CN"/>
          <w14:textFill>
            <w14:solidFill>
              <w14:schemeClr w14:val="tx1"/>
            </w14:solidFill>
          </w14:textFill>
        </w:rPr>
        <w:t>◆</w:t>
      </w:r>
      <w:r>
        <w:rPr>
          <w:rFonts w:hint="eastAsia" w:ascii="Times New Roman" w:hAnsi="Times New Roman" w:eastAsia="宋体" w:cs="Times New Roman"/>
          <w:lang w:val="en-US" w:eastAsia="zh-CN"/>
        </w:rPr>
        <w:t>其他与本专业相关技能等级证书</w:t>
      </w:r>
    </w:p>
    <w:bookmarkEnd w:id="44"/>
    <w:p w14:paraId="630A060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cs="Times New Roman"/>
          <w:b/>
          <w:kern w:val="2"/>
          <w:sz w:val="24"/>
          <w:szCs w:val="24"/>
          <w:lang w:val="en-US" w:eastAsia="zh-CN" w:bidi="ar-SA"/>
        </w:rPr>
        <w:t>九</w:t>
      </w:r>
      <w:r>
        <w:rPr>
          <w:rFonts w:hint="eastAsia" w:ascii="Times New Roman" w:hAnsi="Times New Roman" w:eastAsia="宋体" w:cs="Times New Roman"/>
          <w:b/>
          <w:kern w:val="2"/>
          <w:sz w:val="24"/>
          <w:szCs w:val="24"/>
          <w:lang w:val="en-US" w:eastAsia="zh-CN" w:bidi="ar-SA"/>
        </w:rPr>
        <w:t>、附录</w:t>
      </w:r>
    </w:p>
    <w:p w14:paraId="78D4FACD">
      <w:pPr>
        <w:adjustRightInd w:val="0"/>
        <w:snapToGrid w:val="0"/>
        <w:spacing w:line="360" w:lineRule="exact"/>
        <w:ind w:firstLine="420" w:firstLineChars="200"/>
        <w:rPr>
          <w:rFonts w:hint="eastAsia" w:ascii="Times New Roman" w:hAnsi="Times New Roman"/>
        </w:rPr>
      </w:pPr>
      <w:r>
        <w:rPr>
          <w:rFonts w:hint="eastAsia" w:ascii="Times New Roman" w:hAnsi="Times New Roman"/>
          <w:lang w:val="en-US" w:eastAsia="zh-CN"/>
        </w:rPr>
        <w:t>1.</w:t>
      </w:r>
      <w:r>
        <w:rPr>
          <w:rFonts w:hint="eastAsia" w:ascii="Times New Roman" w:hAnsi="Times New Roman"/>
        </w:rPr>
        <w:t>人才培养方案专业建设委员会审核意见表</w:t>
      </w:r>
    </w:p>
    <w:p w14:paraId="28C6FEF4">
      <w:pPr>
        <w:adjustRightInd w:val="0"/>
        <w:snapToGrid w:val="0"/>
        <w:spacing w:line="360" w:lineRule="exact"/>
        <w:ind w:firstLine="420" w:firstLineChars="200"/>
        <w:rPr>
          <w:rFonts w:hint="default" w:ascii="Times New Roman" w:hAnsi="Times New Roman" w:eastAsia="宋体"/>
          <w:lang w:val="en-US" w:eastAsia="zh-CN"/>
        </w:rPr>
      </w:pPr>
      <w:r>
        <w:rPr>
          <w:rFonts w:hint="eastAsia" w:ascii="Times New Roman" w:hAnsi="Times New Roman"/>
          <w:lang w:val="en-US" w:eastAsia="zh-CN"/>
        </w:rPr>
        <w:t>2.</w:t>
      </w:r>
      <w:r>
        <w:rPr>
          <w:rFonts w:hint="eastAsia" w:ascii="Times New Roman" w:hAnsi="Times New Roman"/>
        </w:rPr>
        <w:t>人才培养方案</w:t>
      </w:r>
      <w:r>
        <w:rPr>
          <w:rFonts w:hint="eastAsia" w:ascii="Times New Roman" w:hAnsi="Times New Roman"/>
          <w:lang w:val="en-US" w:eastAsia="zh-CN"/>
        </w:rPr>
        <w:t>校级</w:t>
      </w:r>
      <w:r>
        <w:rPr>
          <w:rFonts w:hint="eastAsia" w:ascii="Times New Roman" w:hAnsi="Times New Roman"/>
        </w:rPr>
        <w:t>审</w:t>
      </w:r>
      <w:r>
        <w:rPr>
          <w:rFonts w:hint="eastAsia" w:ascii="Times New Roman" w:hAnsi="Times New Roman"/>
          <w:lang w:val="en-US" w:eastAsia="zh-CN"/>
        </w:rPr>
        <w:t>定</w:t>
      </w:r>
      <w:r>
        <w:rPr>
          <w:rFonts w:hint="eastAsia" w:ascii="Times New Roman" w:hAnsi="Times New Roman"/>
        </w:rPr>
        <w:t>意见表</w:t>
      </w:r>
    </w:p>
    <w:bookmarkEnd w:id="40"/>
    <w:bookmarkEnd w:id="41"/>
    <w:bookmarkEnd w:id="42"/>
    <w:p w14:paraId="35C70979">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编制团队成员：李伟娜 卜龙飞 王姗姗 韩旭 梁屹恒</w:t>
      </w:r>
    </w:p>
    <w:p w14:paraId="5D48F3E3">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行业企业名称：河南云和数据有限公司</w:t>
      </w:r>
      <w:r>
        <w:rPr>
          <w:rFonts w:hint="eastAsia" w:ascii="Times New Roman" w:hAnsi="Times New Roman"/>
          <w:lang w:eastAsia="zh-CN"/>
        </w:rPr>
        <w:t>、</w:t>
      </w:r>
      <w:r>
        <w:rPr>
          <w:rFonts w:hint="eastAsia" w:ascii="Times New Roman" w:hAnsi="Times New Roman"/>
          <w:lang w:val="en-US" w:eastAsia="zh-CN"/>
        </w:rPr>
        <w:t>新大陆时代科技</w:t>
      </w:r>
    </w:p>
    <w:p w14:paraId="00560C40">
      <w:pPr>
        <w:adjustRightInd w:val="0"/>
        <w:snapToGrid w:val="0"/>
        <w:spacing w:line="360" w:lineRule="exact"/>
        <w:ind w:firstLine="420" w:firstLineChars="200"/>
        <w:rPr>
          <w:rFonts w:hint="eastAsia" w:ascii="Times New Roman" w:hAnsi="Times New Roman"/>
          <w:lang w:val="en-US" w:eastAsia="zh-CN"/>
        </w:rPr>
      </w:pPr>
      <w:r>
        <w:rPr>
          <w:rFonts w:hint="eastAsia" w:ascii="Times New Roman" w:hAnsi="Times New Roman"/>
          <w:lang w:val="en-US" w:eastAsia="zh-CN"/>
        </w:rPr>
        <w:t>行业企业人员：</w:t>
      </w:r>
      <w:r>
        <w:rPr>
          <w:rFonts w:hint="eastAsia" w:ascii="Times New Roman" w:hAnsi="Times New Roman" w:eastAsia="宋体" w:cs="Times New Roman"/>
          <w:kern w:val="2"/>
          <w:sz w:val="21"/>
          <w:szCs w:val="24"/>
          <w:lang w:val="en-US" w:eastAsia="zh-CN" w:bidi="ar-SA"/>
        </w:rPr>
        <w:t>李雨恒 王冰铎</w:t>
      </w:r>
    </w:p>
    <w:p w14:paraId="7B972388">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院部领导（审核）：胡子义</w:t>
      </w:r>
    </w:p>
    <w:p w14:paraId="49B85ACC">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教务处领导（审定）：郭磊</w:t>
      </w:r>
    </w:p>
    <w:p w14:paraId="288C3D90">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主管院长（批准执行）：</w:t>
      </w:r>
      <w:bookmarkStart w:id="45" w:name="_Toc7718"/>
      <w:bookmarkStart w:id="46" w:name="_Toc29885"/>
      <w:bookmarkStart w:id="47" w:name="_Toc1500"/>
      <w:r>
        <w:rPr>
          <w:rFonts w:hint="eastAsia" w:ascii="Times New Roman" w:hAnsi="Times New Roman"/>
          <w:lang w:val="en-US" w:eastAsia="zh-CN"/>
        </w:rPr>
        <w:t>冯朝印</w:t>
      </w:r>
    </w:p>
    <w:p w14:paraId="753A967A">
      <w:pPr>
        <w:rPr>
          <w:rFonts w:hint="eastAsia" w:ascii="Times New Roman" w:hAnsi="Times New Roman" w:eastAsia="黑体" w:cs="黑体"/>
          <w:color w:val="000000"/>
          <w:spacing w:val="-10"/>
          <w:sz w:val="32"/>
          <w:szCs w:val="32"/>
          <w:lang w:val="en-US" w:eastAsia="zh-CN"/>
        </w:rPr>
      </w:pPr>
      <w:r>
        <w:rPr>
          <w:rFonts w:hint="eastAsia" w:ascii="Times New Roman" w:hAnsi="Times New Roman" w:eastAsia="黑体" w:cs="黑体"/>
          <w:color w:val="000000"/>
          <w:spacing w:val="-10"/>
          <w:sz w:val="32"/>
          <w:szCs w:val="32"/>
          <w:lang w:val="en-US" w:eastAsia="zh-CN"/>
        </w:rPr>
        <w:br w:type="page"/>
      </w:r>
    </w:p>
    <w:p w14:paraId="18F17447">
      <w:pPr>
        <w:pStyle w:val="7"/>
        <w:rPr>
          <w:rFonts w:hint="default" w:ascii="Times New Roman" w:hAnsi="Times New Roman" w:eastAsia="黑体" w:cs="黑体"/>
          <w:color w:val="000000"/>
          <w:spacing w:val="-10"/>
          <w:sz w:val="32"/>
          <w:szCs w:val="32"/>
          <w:lang w:val="en-US" w:eastAsia="zh-CN"/>
        </w:rPr>
      </w:pPr>
      <w:r>
        <w:drawing>
          <wp:anchor distT="0" distB="0" distL="114300" distR="114300" simplePos="0" relativeHeight="251660288" behindDoc="0" locked="0" layoutInCell="1" allowOverlap="1">
            <wp:simplePos x="0" y="0"/>
            <wp:positionH relativeFrom="column">
              <wp:posOffset>55245</wp:posOffset>
            </wp:positionH>
            <wp:positionV relativeFrom="paragraph">
              <wp:posOffset>535940</wp:posOffset>
            </wp:positionV>
            <wp:extent cx="5229225" cy="8124825"/>
            <wp:effectExtent l="0" t="0" r="9525"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29225" cy="8124825"/>
                    </a:xfrm>
                    <a:prstGeom prst="rect">
                      <a:avLst/>
                    </a:prstGeom>
                    <a:noFill/>
                    <a:ln>
                      <a:noFill/>
                    </a:ln>
                  </pic:spPr>
                </pic:pic>
              </a:graphicData>
            </a:graphic>
          </wp:anchor>
        </w:drawing>
      </w:r>
      <w:r>
        <w:rPr>
          <w:rFonts w:hint="eastAsia" w:ascii="Times New Roman" w:hAnsi="Times New Roman" w:eastAsia="黑体" w:cs="黑体"/>
          <w:color w:val="000000"/>
          <w:spacing w:val="-10"/>
          <w:sz w:val="28"/>
          <w:szCs w:val="28"/>
          <w:lang w:val="en-US" w:eastAsia="zh-CN"/>
        </w:rPr>
        <w:t>附录1</w:t>
      </w:r>
      <w:r>
        <w:rPr>
          <w:rFonts w:hint="eastAsia" w:ascii="Times New Roman" w:hAnsi="Times New Roman" w:eastAsia="黑体" w:cs="黑体"/>
          <w:color w:val="000000"/>
          <w:spacing w:val="-10"/>
          <w:sz w:val="32"/>
          <w:szCs w:val="32"/>
          <w:lang w:val="en-US" w:eastAsia="zh-CN"/>
        </w:rPr>
        <w:t xml:space="preserve"> </w:t>
      </w:r>
    </w:p>
    <w:bookmarkEnd w:id="45"/>
    <w:bookmarkEnd w:id="46"/>
    <w:bookmarkEnd w:id="47"/>
    <w:p w14:paraId="354460C8">
      <w:pPr>
        <w:rPr>
          <w:rFonts w:hint="eastAsia" w:ascii="Times New Roman" w:hAnsi="Times New Roman" w:eastAsia="黑体" w:cs="黑体"/>
          <w:color w:val="000000"/>
          <w:spacing w:val="-10"/>
          <w:sz w:val="28"/>
          <w:szCs w:val="28"/>
          <w:lang w:val="en-US" w:eastAsia="zh-CN"/>
        </w:rPr>
      </w:pPr>
      <w:r>
        <w:rPr>
          <w:rFonts w:hint="eastAsia" w:ascii="Times New Roman" w:hAnsi="Times New Roman" w:eastAsia="黑体" w:cs="黑体"/>
          <w:color w:val="000000"/>
          <w:spacing w:val="-10"/>
          <w:sz w:val="28"/>
          <w:szCs w:val="28"/>
          <w:lang w:val="en-US" w:eastAsia="zh-CN"/>
        </w:rPr>
        <w:br w:type="page"/>
      </w:r>
    </w:p>
    <w:p w14:paraId="0DE637F4">
      <w:pPr>
        <w:pStyle w:val="7"/>
        <w:rPr>
          <w:rFonts w:hint="default" w:ascii="Times New Roman" w:hAnsi="Times New Roman"/>
          <w:lang w:val="en-US" w:eastAsia="zh-CN"/>
        </w:rPr>
      </w:pPr>
      <w:r>
        <w:rPr>
          <w:rFonts w:hint="default" w:ascii="Times New Roman" w:hAnsi="Times New Roman"/>
          <w:lang w:val="en-US" w:eastAsia="zh-CN"/>
        </w:rPr>
        <w:drawing>
          <wp:anchor distT="0" distB="0" distL="114300" distR="114300" simplePos="0" relativeHeight="251659264" behindDoc="0" locked="0" layoutInCell="1" allowOverlap="1">
            <wp:simplePos x="0" y="0"/>
            <wp:positionH relativeFrom="column">
              <wp:posOffset>203835</wp:posOffset>
            </wp:positionH>
            <wp:positionV relativeFrom="paragraph">
              <wp:posOffset>556895</wp:posOffset>
            </wp:positionV>
            <wp:extent cx="5339080" cy="7963535"/>
            <wp:effectExtent l="0" t="0" r="13970" b="18415"/>
            <wp:wrapTopAndBottom/>
            <wp:docPr id="4" name="图片 4" descr="0a3f370a-5bc7-43cb-8a89-085609f3bc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a3f370a-5bc7-43cb-8a89-085609f3bcd3"/>
                    <pic:cNvPicPr>
                      <a:picLocks noChangeAspect="1"/>
                    </pic:cNvPicPr>
                  </pic:nvPicPr>
                  <pic:blipFill>
                    <a:blip r:embed="rId7"/>
                    <a:srcRect l="14576" t="8153" r="12352" b="13102"/>
                    <a:stretch>
                      <a:fillRect/>
                    </a:stretch>
                  </pic:blipFill>
                  <pic:spPr>
                    <a:xfrm>
                      <a:off x="0" y="0"/>
                      <a:ext cx="5339080" cy="7963535"/>
                    </a:xfrm>
                    <a:prstGeom prst="rect">
                      <a:avLst/>
                    </a:prstGeom>
                  </pic:spPr>
                </pic:pic>
              </a:graphicData>
            </a:graphic>
          </wp:anchor>
        </w:drawing>
      </w:r>
      <w:r>
        <w:rPr>
          <w:rFonts w:hint="eastAsia" w:ascii="Times New Roman" w:hAnsi="Times New Roman" w:eastAsia="黑体" w:cs="黑体"/>
          <w:color w:val="000000"/>
          <w:spacing w:val="-10"/>
          <w:sz w:val="28"/>
          <w:szCs w:val="28"/>
          <w:lang w:val="en-US" w:eastAsia="zh-CN"/>
        </w:rPr>
        <w:t>附录2</w:t>
      </w:r>
    </w:p>
    <w:sectPr>
      <w:footerReference r:id="rId4" w:type="default"/>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D5B73F-D4A5-48EC-B393-F0D83D2B0F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F69F841-0957-4821-838C-038549ABF807}"/>
  </w:font>
  <w:font w:name="华文中宋">
    <w:panose1 w:val="02010600040101010101"/>
    <w:charset w:val="86"/>
    <w:family w:val="auto"/>
    <w:pitch w:val="default"/>
    <w:sig w:usb0="00000287" w:usb1="080F0000" w:usb2="00000000" w:usb3="00000000" w:csb0="0004009F" w:csb1="DFD70000"/>
    <w:embedRegular r:id="rId3" w:fontKey="{6B9CA703-C892-4DC9-AE85-CF0152A44F80}"/>
  </w:font>
  <w:font w:name="楷体_GB2312">
    <w:panose1 w:val="02010609030101010101"/>
    <w:charset w:val="86"/>
    <w:family w:val="auto"/>
    <w:pitch w:val="default"/>
    <w:sig w:usb0="00000001" w:usb1="080E0000" w:usb2="00000000" w:usb3="00000000" w:csb0="00040000" w:csb1="00000000"/>
    <w:embedRegular r:id="rId4" w:fontKey="{577DD1D2-5347-47A9-A166-2D5036364F57}"/>
  </w:font>
  <w:font w:name="方正仿宋_GB2312">
    <w:panose1 w:val="02000000000000000000"/>
    <w:charset w:val="86"/>
    <w:family w:val="auto"/>
    <w:pitch w:val="default"/>
    <w:sig w:usb0="A00002BF" w:usb1="184F6CFA" w:usb2="00000012" w:usb3="00000000" w:csb0="00040001" w:csb1="00000000"/>
    <w:embedRegular r:id="rId5" w:fontKey="{82A0018D-3B95-4B33-A928-F795A3F4577E}"/>
  </w:font>
  <w:font w:name="WPSEMBED24">
    <w:panose1 w:val="02010600040101010101"/>
    <w:charset w:val="86"/>
    <w:family w:val="auto"/>
    <w:pitch w:val="default"/>
    <w:sig w:usb0="00000287" w:usb1="080F0000" w:usb2="00000000" w:usb3="00000000" w:csb0="0004009F" w:csb1="DFD70000"/>
  </w:font>
  <w:font w:name="WPSEMBED25">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AD08">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26027">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E26027">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EE56D">
    <w:pPr>
      <w:pStyle w:val="9"/>
      <w:pBdr>
        <w:bottom w:val="none" w:color="auto" w:sz="0" w:space="1"/>
      </w:pBdr>
      <w:jc w:val="right"/>
      <w:rPr>
        <w:rFonts w:hint="eastAsia" w:ascii="华文中宋" w:hAnsi="华文中宋" w:eastAsia="华文中宋" w:cs="华文中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1577B9"/>
    <w:rsid w:val="00324D31"/>
    <w:rsid w:val="00562DC2"/>
    <w:rsid w:val="0083050D"/>
    <w:rsid w:val="008D1A15"/>
    <w:rsid w:val="008E0346"/>
    <w:rsid w:val="018A2D98"/>
    <w:rsid w:val="01DA574F"/>
    <w:rsid w:val="031D7A46"/>
    <w:rsid w:val="033E2F89"/>
    <w:rsid w:val="03914744"/>
    <w:rsid w:val="03F84D6E"/>
    <w:rsid w:val="058D598A"/>
    <w:rsid w:val="05D97130"/>
    <w:rsid w:val="05E468D0"/>
    <w:rsid w:val="05E5086C"/>
    <w:rsid w:val="06324CFB"/>
    <w:rsid w:val="06F12C27"/>
    <w:rsid w:val="06F2099A"/>
    <w:rsid w:val="07A73E2B"/>
    <w:rsid w:val="085B200E"/>
    <w:rsid w:val="08E36BE9"/>
    <w:rsid w:val="09DC25D1"/>
    <w:rsid w:val="0A3F4665"/>
    <w:rsid w:val="0ACB263A"/>
    <w:rsid w:val="0ACC3DF3"/>
    <w:rsid w:val="0AF30EA7"/>
    <w:rsid w:val="0B445DE2"/>
    <w:rsid w:val="0C3D245B"/>
    <w:rsid w:val="0C7065C2"/>
    <w:rsid w:val="0D3478BC"/>
    <w:rsid w:val="0D9F3CDC"/>
    <w:rsid w:val="0E034675"/>
    <w:rsid w:val="0E5561AE"/>
    <w:rsid w:val="0E920949"/>
    <w:rsid w:val="0EC8443A"/>
    <w:rsid w:val="0ECA3BDD"/>
    <w:rsid w:val="0EF23CF7"/>
    <w:rsid w:val="0F244359"/>
    <w:rsid w:val="0F451AB3"/>
    <w:rsid w:val="0F77194F"/>
    <w:rsid w:val="0FA63D9A"/>
    <w:rsid w:val="0FB87AA7"/>
    <w:rsid w:val="102A47F5"/>
    <w:rsid w:val="10792D6C"/>
    <w:rsid w:val="10DC4019"/>
    <w:rsid w:val="112B7344"/>
    <w:rsid w:val="114B387C"/>
    <w:rsid w:val="118D02CE"/>
    <w:rsid w:val="11A955B4"/>
    <w:rsid w:val="11F2192F"/>
    <w:rsid w:val="126864BB"/>
    <w:rsid w:val="127C3A5A"/>
    <w:rsid w:val="12B9697E"/>
    <w:rsid w:val="12E45B00"/>
    <w:rsid w:val="130F5C30"/>
    <w:rsid w:val="13B146D4"/>
    <w:rsid w:val="13D46189"/>
    <w:rsid w:val="142E63A6"/>
    <w:rsid w:val="14350C5B"/>
    <w:rsid w:val="143B3428"/>
    <w:rsid w:val="147B29C9"/>
    <w:rsid w:val="148E01FD"/>
    <w:rsid w:val="14B474FB"/>
    <w:rsid w:val="14BA1BCC"/>
    <w:rsid w:val="1586381E"/>
    <w:rsid w:val="15897547"/>
    <w:rsid w:val="161C5AFF"/>
    <w:rsid w:val="16985881"/>
    <w:rsid w:val="169A0D52"/>
    <w:rsid w:val="170F44C1"/>
    <w:rsid w:val="181D2F04"/>
    <w:rsid w:val="18386775"/>
    <w:rsid w:val="18E82455"/>
    <w:rsid w:val="199D5D56"/>
    <w:rsid w:val="19B37C4A"/>
    <w:rsid w:val="1A512FD2"/>
    <w:rsid w:val="1A564145"/>
    <w:rsid w:val="1A710F7F"/>
    <w:rsid w:val="1AEB2BD4"/>
    <w:rsid w:val="1B122762"/>
    <w:rsid w:val="1B4F59FE"/>
    <w:rsid w:val="1B5452A3"/>
    <w:rsid w:val="1BA91E00"/>
    <w:rsid w:val="1C8E1396"/>
    <w:rsid w:val="1CA662BB"/>
    <w:rsid w:val="1CD001DE"/>
    <w:rsid w:val="1D532BBD"/>
    <w:rsid w:val="1E604F79"/>
    <w:rsid w:val="1EBC5FD7"/>
    <w:rsid w:val="1EF16BF5"/>
    <w:rsid w:val="1F2E48AE"/>
    <w:rsid w:val="20064F82"/>
    <w:rsid w:val="200F4C28"/>
    <w:rsid w:val="2030036E"/>
    <w:rsid w:val="20C8461F"/>
    <w:rsid w:val="214D44F3"/>
    <w:rsid w:val="227B2FEC"/>
    <w:rsid w:val="231F5A1C"/>
    <w:rsid w:val="233174FD"/>
    <w:rsid w:val="23ED0D9E"/>
    <w:rsid w:val="23ED11CC"/>
    <w:rsid w:val="243C25FD"/>
    <w:rsid w:val="25ED3B82"/>
    <w:rsid w:val="26063CBB"/>
    <w:rsid w:val="27635AC1"/>
    <w:rsid w:val="282615FA"/>
    <w:rsid w:val="28C23AD5"/>
    <w:rsid w:val="29154D6B"/>
    <w:rsid w:val="29A0647A"/>
    <w:rsid w:val="29FE3D88"/>
    <w:rsid w:val="2AE6669B"/>
    <w:rsid w:val="2B586AEA"/>
    <w:rsid w:val="2CE808E6"/>
    <w:rsid w:val="2D220F1B"/>
    <w:rsid w:val="2D2A77DF"/>
    <w:rsid w:val="2D371BB4"/>
    <w:rsid w:val="2D734F08"/>
    <w:rsid w:val="2D9078B3"/>
    <w:rsid w:val="2DC74AB3"/>
    <w:rsid w:val="2E632643"/>
    <w:rsid w:val="2ECF0350"/>
    <w:rsid w:val="2EEB534C"/>
    <w:rsid w:val="2F2A6E19"/>
    <w:rsid w:val="2F6376CB"/>
    <w:rsid w:val="2F884949"/>
    <w:rsid w:val="2FC3169D"/>
    <w:rsid w:val="2FD14541"/>
    <w:rsid w:val="2FE11064"/>
    <w:rsid w:val="2FE53B49"/>
    <w:rsid w:val="300F6E18"/>
    <w:rsid w:val="306C66CE"/>
    <w:rsid w:val="308275EA"/>
    <w:rsid w:val="30FE5805"/>
    <w:rsid w:val="31356182"/>
    <w:rsid w:val="314D52FE"/>
    <w:rsid w:val="318F4248"/>
    <w:rsid w:val="31AF1097"/>
    <w:rsid w:val="326033D6"/>
    <w:rsid w:val="33CC5BCC"/>
    <w:rsid w:val="33D77C4D"/>
    <w:rsid w:val="33F22CD8"/>
    <w:rsid w:val="343D0C0F"/>
    <w:rsid w:val="344352E2"/>
    <w:rsid w:val="34B26B9B"/>
    <w:rsid w:val="34D4418C"/>
    <w:rsid w:val="34DD13C2"/>
    <w:rsid w:val="35010858"/>
    <w:rsid w:val="35B53A8A"/>
    <w:rsid w:val="35DA5322"/>
    <w:rsid w:val="36152D3C"/>
    <w:rsid w:val="36404965"/>
    <w:rsid w:val="36993366"/>
    <w:rsid w:val="36C37623"/>
    <w:rsid w:val="36EB26CA"/>
    <w:rsid w:val="376B702A"/>
    <w:rsid w:val="3801798E"/>
    <w:rsid w:val="38A30A45"/>
    <w:rsid w:val="38C11856"/>
    <w:rsid w:val="3A045513"/>
    <w:rsid w:val="3A266F51"/>
    <w:rsid w:val="3AA706BF"/>
    <w:rsid w:val="3B027E70"/>
    <w:rsid w:val="3B1A034C"/>
    <w:rsid w:val="3BA048D6"/>
    <w:rsid w:val="3C447E49"/>
    <w:rsid w:val="3CA51BA7"/>
    <w:rsid w:val="3CE77152"/>
    <w:rsid w:val="3DEF4727"/>
    <w:rsid w:val="3E2D5039"/>
    <w:rsid w:val="3E4B1A4C"/>
    <w:rsid w:val="3E691BE1"/>
    <w:rsid w:val="3EAD7A03"/>
    <w:rsid w:val="3F2F6CF2"/>
    <w:rsid w:val="3F56236D"/>
    <w:rsid w:val="3F6967C0"/>
    <w:rsid w:val="3F9B5FD2"/>
    <w:rsid w:val="3FCF64FD"/>
    <w:rsid w:val="40436568"/>
    <w:rsid w:val="407C6DE8"/>
    <w:rsid w:val="41013698"/>
    <w:rsid w:val="419B49AF"/>
    <w:rsid w:val="420A0D7B"/>
    <w:rsid w:val="422909FA"/>
    <w:rsid w:val="42B357FF"/>
    <w:rsid w:val="42CF2A13"/>
    <w:rsid w:val="42F520B3"/>
    <w:rsid w:val="447A0C5C"/>
    <w:rsid w:val="44ED2470"/>
    <w:rsid w:val="452457E1"/>
    <w:rsid w:val="452C3067"/>
    <w:rsid w:val="460A61D0"/>
    <w:rsid w:val="462C7B1B"/>
    <w:rsid w:val="466660E7"/>
    <w:rsid w:val="478B4C6E"/>
    <w:rsid w:val="47E02B00"/>
    <w:rsid w:val="4844576B"/>
    <w:rsid w:val="48B22D93"/>
    <w:rsid w:val="48BD652E"/>
    <w:rsid w:val="497D05E5"/>
    <w:rsid w:val="4A2D49C1"/>
    <w:rsid w:val="4A897A9B"/>
    <w:rsid w:val="4AFD52E8"/>
    <w:rsid w:val="4B7445B1"/>
    <w:rsid w:val="4C463387"/>
    <w:rsid w:val="4C982217"/>
    <w:rsid w:val="4CBF29C7"/>
    <w:rsid w:val="4D1231DB"/>
    <w:rsid w:val="4DD61645"/>
    <w:rsid w:val="4DEB4F2E"/>
    <w:rsid w:val="4E3719D5"/>
    <w:rsid w:val="4F8859D7"/>
    <w:rsid w:val="4FD42BD2"/>
    <w:rsid w:val="4FDC288E"/>
    <w:rsid w:val="507E0E06"/>
    <w:rsid w:val="50810226"/>
    <w:rsid w:val="50847E24"/>
    <w:rsid w:val="50E752AD"/>
    <w:rsid w:val="52BB6C5F"/>
    <w:rsid w:val="52C704DA"/>
    <w:rsid w:val="53164305"/>
    <w:rsid w:val="54854A39"/>
    <w:rsid w:val="548F43A9"/>
    <w:rsid w:val="55D75E14"/>
    <w:rsid w:val="55E87159"/>
    <w:rsid w:val="56DC20EA"/>
    <w:rsid w:val="570D6EAC"/>
    <w:rsid w:val="577B69BD"/>
    <w:rsid w:val="57885AA9"/>
    <w:rsid w:val="57C933B0"/>
    <w:rsid w:val="58B06495"/>
    <w:rsid w:val="58E7122E"/>
    <w:rsid w:val="590A41CB"/>
    <w:rsid w:val="59170968"/>
    <w:rsid w:val="59613991"/>
    <w:rsid w:val="597405A0"/>
    <w:rsid w:val="597D60FE"/>
    <w:rsid w:val="59D6612D"/>
    <w:rsid w:val="59FE7432"/>
    <w:rsid w:val="5A225816"/>
    <w:rsid w:val="5B991157"/>
    <w:rsid w:val="5BB10BFF"/>
    <w:rsid w:val="5CF35248"/>
    <w:rsid w:val="5DBA7B13"/>
    <w:rsid w:val="5F0E5B21"/>
    <w:rsid w:val="5F700DD2"/>
    <w:rsid w:val="5FB76A00"/>
    <w:rsid w:val="5FC302DD"/>
    <w:rsid w:val="5FE96112"/>
    <w:rsid w:val="5FE96AFB"/>
    <w:rsid w:val="606E3563"/>
    <w:rsid w:val="60964868"/>
    <w:rsid w:val="60A739C7"/>
    <w:rsid w:val="614E0FA6"/>
    <w:rsid w:val="61AE798F"/>
    <w:rsid w:val="61F84706"/>
    <w:rsid w:val="62C778F2"/>
    <w:rsid w:val="63332C29"/>
    <w:rsid w:val="633D0A8B"/>
    <w:rsid w:val="63750765"/>
    <w:rsid w:val="641B6B36"/>
    <w:rsid w:val="64931ADB"/>
    <w:rsid w:val="654E019A"/>
    <w:rsid w:val="65646A63"/>
    <w:rsid w:val="65956E9C"/>
    <w:rsid w:val="661F70AE"/>
    <w:rsid w:val="663B032C"/>
    <w:rsid w:val="66C336F8"/>
    <w:rsid w:val="66C81697"/>
    <w:rsid w:val="67114895"/>
    <w:rsid w:val="671A4217"/>
    <w:rsid w:val="67E95EB8"/>
    <w:rsid w:val="68ED6339"/>
    <w:rsid w:val="69720C71"/>
    <w:rsid w:val="6A0C2D13"/>
    <w:rsid w:val="6AA14535"/>
    <w:rsid w:val="6B5B62B4"/>
    <w:rsid w:val="6B6A30E9"/>
    <w:rsid w:val="6BA55865"/>
    <w:rsid w:val="6BF72C11"/>
    <w:rsid w:val="6C067043"/>
    <w:rsid w:val="6C0854F6"/>
    <w:rsid w:val="6C607508"/>
    <w:rsid w:val="6D08769F"/>
    <w:rsid w:val="6E032E11"/>
    <w:rsid w:val="6E4D3BF2"/>
    <w:rsid w:val="6E9A6D72"/>
    <w:rsid w:val="6EC5547A"/>
    <w:rsid w:val="6F073253"/>
    <w:rsid w:val="6F0C5110"/>
    <w:rsid w:val="6F3B1429"/>
    <w:rsid w:val="6F563E79"/>
    <w:rsid w:val="6F9635F5"/>
    <w:rsid w:val="6F9C53FD"/>
    <w:rsid w:val="7045748D"/>
    <w:rsid w:val="70531426"/>
    <w:rsid w:val="70694508"/>
    <w:rsid w:val="70947FF9"/>
    <w:rsid w:val="712566B3"/>
    <w:rsid w:val="71B8605D"/>
    <w:rsid w:val="72886675"/>
    <w:rsid w:val="72E66F89"/>
    <w:rsid w:val="72ED65E6"/>
    <w:rsid w:val="72F93569"/>
    <w:rsid w:val="734F0FD2"/>
    <w:rsid w:val="744063D9"/>
    <w:rsid w:val="745F570D"/>
    <w:rsid w:val="749612D6"/>
    <w:rsid w:val="75504B8E"/>
    <w:rsid w:val="758E217A"/>
    <w:rsid w:val="76585CC1"/>
    <w:rsid w:val="76B34539"/>
    <w:rsid w:val="770A59BD"/>
    <w:rsid w:val="77FA0370"/>
    <w:rsid w:val="78AE45CD"/>
    <w:rsid w:val="78AE49E2"/>
    <w:rsid w:val="79486900"/>
    <w:rsid w:val="795D1F6F"/>
    <w:rsid w:val="79DA48D8"/>
    <w:rsid w:val="7A347F71"/>
    <w:rsid w:val="7ABD2CC5"/>
    <w:rsid w:val="7B954EB2"/>
    <w:rsid w:val="7BE06812"/>
    <w:rsid w:val="7C7862D5"/>
    <w:rsid w:val="7C790E6E"/>
    <w:rsid w:val="7CA51C63"/>
    <w:rsid w:val="7CF254B8"/>
    <w:rsid w:val="7D7D4807"/>
    <w:rsid w:val="7D862F78"/>
    <w:rsid w:val="7DF1567F"/>
    <w:rsid w:val="7E1B6D74"/>
    <w:rsid w:val="7E4E16CF"/>
    <w:rsid w:val="7EA61CC2"/>
    <w:rsid w:val="7EAB72D9"/>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Autospacing="0" w:afterAutospacing="0" w:line="360" w:lineRule="exact"/>
      <w:ind w:firstLine="480" w:firstLineChars="200"/>
      <w:jc w:val="left"/>
      <w:outlineLvl w:val="0"/>
    </w:pPr>
    <w:rPr>
      <w:rFonts w:hint="eastAsia" w:ascii="宋体" w:hAnsi="宋体" w:eastAsia="宋体" w:cs="宋体"/>
      <w:b/>
      <w:kern w:val="44"/>
      <w:sz w:val="24"/>
      <w:szCs w:val="48"/>
      <w:lang w:bidi="ar"/>
    </w:rPr>
  </w:style>
  <w:style w:type="paragraph" w:styleId="3">
    <w:name w:val="heading 2"/>
    <w:basedOn w:val="1"/>
    <w:next w:val="1"/>
    <w:unhideWhenUsed/>
    <w:qFormat/>
    <w:uiPriority w:val="0"/>
    <w:pPr>
      <w:keepNext/>
      <w:keepLines/>
      <w:snapToGrid w:val="0"/>
      <w:spacing w:beforeAutospacing="0" w:afterAutospacing="0" w:line="360" w:lineRule="exact"/>
      <w:ind w:firstLine="562" w:firstLineChars="200"/>
      <w:outlineLvl w:val="1"/>
    </w:pPr>
    <w:rPr>
      <w:rFonts w:ascii="Arial" w:hAnsi="Arial" w:eastAsia="宋体"/>
      <w:b/>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7"/>
    <w:qFormat/>
    <w:uiPriority w:val="99"/>
    <w:pPr>
      <w:spacing w:after="0" w:line="360" w:lineRule="auto"/>
      <w:ind w:firstLine="420" w:firstLineChars="100"/>
    </w:pPr>
    <w:rPr>
      <w:rFonts w:ascii="Times New Roman" w:hAnsi="Times New Roman" w:cs="Times New Roman"/>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HTML Code"/>
    <w:basedOn w:val="15"/>
    <w:qFormat/>
    <w:uiPriority w:val="0"/>
    <w:rPr>
      <w:rFonts w:ascii="Courier New" w:hAnsi="Courier New"/>
      <w:sz w:val="20"/>
    </w:rPr>
  </w:style>
  <w:style w:type="character" w:styleId="19">
    <w:name w:val="annotation reference"/>
    <w:basedOn w:val="15"/>
    <w:qFormat/>
    <w:uiPriority w:val="99"/>
    <w:rPr>
      <w:rFonts w:cs="Times New Roman"/>
      <w:sz w:val="21"/>
      <w:szCs w:val="21"/>
    </w:rPr>
  </w:style>
  <w:style w:type="table" w:customStyle="1" w:styleId="20">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1">
    <w:name w:val="列出段落1"/>
    <w:basedOn w:val="1"/>
    <w:qFormat/>
    <w:uiPriority w:val="0"/>
    <w:pPr>
      <w:widowControl/>
      <w:ind w:firstLine="420" w:firstLineChars="200"/>
      <w:jc w:val="left"/>
    </w:pPr>
    <w:rPr>
      <w:rFonts w:ascii="宋体" w:hAnsi="宋体" w:cs="宋体"/>
      <w:kern w:val="0"/>
      <w:sz w:val="24"/>
    </w:rPr>
  </w:style>
  <w:style w:type="paragraph" w:customStyle="1" w:styleId="22">
    <w:name w:val="Table Text"/>
    <w:basedOn w:val="1"/>
    <w:qFormat/>
    <w:uiPriority w:val="0"/>
    <w:rPr>
      <w:rFonts w:ascii="Arial" w:hAnsi="Arial" w:eastAsia="Arial" w:cs="Arial"/>
      <w:sz w:val="18"/>
      <w:szCs w:val="18"/>
      <w:lang w:eastAsia="en-US"/>
    </w:rPr>
  </w:style>
  <w:style w:type="paragraph" w:customStyle="1" w:styleId="23">
    <w:name w:val="我的正文"/>
    <w:basedOn w:val="1"/>
    <w:qFormat/>
    <w:uiPriority w:val="0"/>
    <w:pPr>
      <w:widowControl/>
      <w:ind w:firstLine="420" w:firstLineChars="200"/>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2680</Words>
  <Characters>2762</Characters>
  <Lines>0</Lines>
  <Paragraphs>0</Paragraphs>
  <TotalTime>5</TotalTime>
  <ScaleCrop>false</ScaleCrop>
  <LinksUpToDate>false</LinksUpToDate>
  <CharactersWithSpaces>2921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2025-12-18T07:53:23Z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31CD9B47CF414390B701C8CFD8E03602_13</vt:lpwstr>
  </property>
  <property fmtid="{D5CDD505-2E9C-101B-9397-08002B2CF9AE}" pid="4" name="KSOTemplateDocerSaveRecord">
    <vt:lpwstr>eyJoZGlkIjoiMzg3MjQ3MjI3NmM2YmQzMTZiM2Q0NmIxZDQ4YmQwNzIiLCJ1c2VySWQiOiIyMDA3OTA1ODEifQ==</vt:lpwstr>
  </property>
</Properties>
</file>