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94683">
      <w:pPr>
        <w:pStyle w:val="2"/>
        <w:spacing w:line="286" w:lineRule="auto"/>
      </w:pPr>
      <w:bookmarkStart w:id="0" w:name="_GoBack"/>
      <w:bookmarkEnd w:id="0"/>
    </w:p>
    <w:p w14:paraId="7F11BCFA">
      <w:pPr>
        <w:pStyle w:val="2"/>
        <w:spacing w:line="286" w:lineRule="auto"/>
      </w:pPr>
    </w:p>
    <w:p w14:paraId="0864418C">
      <w:pPr>
        <w:spacing w:before="100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7D620F21">
      <w:pPr>
        <w:pStyle w:val="2"/>
        <w:spacing w:line="462" w:lineRule="auto"/>
      </w:pPr>
    </w:p>
    <w:p w14:paraId="3FF0C0D4">
      <w:pPr>
        <w:spacing w:before="166" w:line="235" w:lineRule="auto"/>
        <w:jc w:val="right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河南省教育科学规划 2025 年度专项课题指南</w:t>
      </w:r>
    </w:p>
    <w:p w14:paraId="66372D2A">
      <w:pPr>
        <w:pStyle w:val="2"/>
        <w:spacing w:line="278" w:lineRule="auto"/>
      </w:pPr>
    </w:p>
    <w:p w14:paraId="1853EC8B">
      <w:pPr>
        <w:pStyle w:val="2"/>
        <w:spacing w:line="279" w:lineRule="auto"/>
      </w:pPr>
    </w:p>
    <w:p w14:paraId="3125B8AC">
      <w:pPr>
        <w:pStyle w:val="2"/>
        <w:spacing w:line="279" w:lineRule="auto"/>
      </w:pPr>
    </w:p>
    <w:p w14:paraId="178B5AEC">
      <w:pPr>
        <w:pStyle w:val="2"/>
        <w:spacing w:line="279" w:lineRule="auto"/>
      </w:pPr>
    </w:p>
    <w:p w14:paraId="4B3CED01">
      <w:pPr>
        <w:spacing w:before="101" w:line="226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一、普通高中育人方式改革专项课题指南</w:t>
      </w:r>
    </w:p>
    <w:p w14:paraId="67D76F65">
      <w:pPr>
        <w:pStyle w:val="2"/>
        <w:spacing w:line="356" w:lineRule="auto"/>
      </w:pPr>
    </w:p>
    <w:p w14:paraId="4CBD5718">
      <w:pPr>
        <w:spacing w:before="101" w:line="225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1.普通高中多样化特色发展实践研究</w:t>
      </w:r>
    </w:p>
    <w:p w14:paraId="3C000668">
      <w:pPr>
        <w:pStyle w:val="2"/>
        <w:spacing w:line="359" w:lineRule="auto"/>
      </w:pPr>
    </w:p>
    <w:p w14:paraId="32C72AD5">
      <w:pPr>
        <w:spacing w:before="100" w:line="228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2.扩大优质普通高中教育资源路径研究</w:t>
      </w:r>
    </w:p>
    <w:p w14:paraId="3F9331C8">
      <w:pPr>
        <w:pStyle w:val="2"/>
        <w:spacing w:line="354" w:lineRule="auto"/>
      </w:pPr>
    </w:p>
    <w:p w14:paraId="3760AADF">
      <w:pPr>
        <w:spacing w:before="101" w:line="228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3.普通高中优质特色学科建设研究</w:t>
      </w:r>
    </w:p>
    <w:p w14:paraId="24975920">
      <w:pPr>
        <w:pStyle w:val="2"/>
        <w:spacing w:line="354" w:lineRule="auto"/>
      </w:pPr>
    </w:p>
    <w:p w14:paraId="34BC6855">
      <w:pPr>
        <w:spacing w:before="102" w:line="227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4.普通高中新课程新教材教学的策略创新研究</w:t>
      </w:r>
    </w:p>
    <w:p w14:paraId="05FC4247">
      <w:pPr>
        <w:pStyle w:val="2"/>
        <w:spacing w:line="355" w:lineRule="auto"/>
      </w:pPr>
    </w:p>
    <w:p w14:paraId="251C846B">
      <w:pPr>
        <w:spacing w:before="101" w:line="227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5.普通高中学校办学质量科学评价研究</w:t>
      </w:r>
    </w:p>
    <w:p w14:paraId="7E262D41">
      <w:pPr>
        <w:pStyle w:val="2"/>
        <w:spacing w:line="355" w:lineRule="auto"/>
      </w:pPr>
    </w:p>
    <w:p w14:paraId="2BA25CDE">
      <w:pPr>
        <w:spacing w:before="102" w:line="228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6.县域普通高中优化资源配置研究</w:t>
      </w:r>
    </w:p>
    <w:p w14:paraId="695DC04E">
      <w:pPr>
        <w:pStyle w:val="2"/>
        <w:spacing w:line="354" w:lineRule="auto"/>
      </w:pPr>
    </w:p>
    <w:p w14:paraId="34FE4F55">
      <w:pPr>
        <w:spacing w:before="101" w:line="228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7.提升县域普通高中办学水平问题研究</w:t>
      </w:r>
    </w:p>
    <w:p w14:paraId="1CB04592">
      <w:pPr>
        <w:pStyle w:val="2"/>
        <w:spacing w:line="354" w:lineRule="auto"/>
      </w:pPr>
    </w:p>
    <w:p w14:paraId="5911EC5B">
      <w:pPr>
        <w:spacing w:before="101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8.综合高中建设路径研究</w:t>
      </w:r>
    </w:p>
    <w:p w14:paraId="0AA25587">
      <w:pPr>
        <w:spacing w:before="296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9.科技高中发展模式研究</w:t>
      </w:r>
    </w:p>
    <w:p w14:paraId="167F35BF">
      <w:pPr>
        <w:spacing w:before="299" w:line="226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二、特殊教育发展提升行动专项课题指南</w:t>
      </w:r>
    </w:p>
    <w:p w14:paraId="3678A207">
      <w:pPr>
        <w:spacing w:before="300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1.健全我省特殊教育体系问题研究</w:t>
      </w:r>
    </w:p>
    <w:p w14:paraId="4822FF38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574" w:bottom="1943" w:left="1540" w:header="0" w:footer="1551" w:gutter="0"/>
          <w:cols w:space="720" w:num="1"/>
        </w:sectPr>
      </w:pPr>
    </w:p>
    <w:p w14:paraId="677256FD">
      <w:pPr>
        <w:pStyle w:val="2"/>
        <w:spacing w:line="285" w:lineRule="auto"/>
      </w:pPr>
    </w:p>
    <w:p w14:paraId="2109045B">
      <w:pPr>
        <w:pStyle w:val="2"/>
        <w:spacing w:line="286" w:lineRule="auto"/>
      </w:pPr>
    </w:p>
    <w:p w14:paraId="787BF91B">
      <w:pPr>
        <w:spacing w:before="101" w:line="228" w:lineRule="auto"/>
        <w:ind w:left="4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2.提高我省残疾儿童义务教育普及水平研究</w:t>
      </w:r>
    </w:p>
    <w:p w14:paraId="7B891B2C">
      <w:pPr>
        <w:pStyle w:val="2"/>
        <w:spacing w:line="354" w:lineRule="auto"/>
      </w:pPr>
    </w:p>
    <w:p w14:paraId="35B9F7FE">
      <w:pPr>
        <w:spacing w:before="101" w:line="227" w:lineRule="auto"/>
        <w:ind w:left="4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3.促进我省特殊教育内涵发展研究</w:t>
      </w:r>
    </w:p>
    <w:p w14:paraId="6DA58934">
      <w:pPr>
        <w:pStyle w:val="2"/>
        <w:spacing w:line="356" w:lineRule="auto"/>
      </w:pPr>
    </w:p>
    <w:p w14:paraId="21706709">
      <w:pPr>
        <w:spacing w:before="101" w:line="226" w:lineRule="auto"/>
        <w:ind w:left="3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4.完善我省特殊教育保障机制研究</w:t>
      </w:r>
    </w:p>
    <w:p w14:paraId="299AF038">
      <w:pPr>
        <w:pStyle w:val="2"/>
        <w:spacing w:line="357" w:lineRule="auto"/>
      </w:pPr>
    </w:p>
    <w:p w14:paraId="40A13106">
      <w:pPr>
        <w:spacing w:before="100" w:line="227" w:lineRule="auto"/>
        <w:ind w:left="4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5.非义务教育阶段特殊教育发展问题研究</w:t>
      </w:r>
    </w:p>
    <w:p w14:paraId="2C800C3D">
      <w:pPr>
        <w:pStyle w:val="2"/>
        <w:spacing w:line="355" w:lineRule="auto"/>
      </w:pPr>
    </w:p>
    <w:p w14:paraId="273ABBD8">
      <w:pPr>
        <w:spacing w:before="101" w:line="227" w:lineRule="auto"/>
        <w:ind w:left="3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6.特殊教育和普通、职业教育融合问题研究</w:t>
      </w:r>
    </w:p>
    <w:p w14:paraId="6AB238B4">
      <w:pPr>
        <w:pStyle w:val="2"/>
        <w:spacing w:line="355" w:lineRule="auto"/>
      </w:pPr>
    </w:p>
    <w:p w14:paraId="5E1B85B6">
      <w:pPr>
        <w:spacing w:before="102" w:line="227" w:lineRule="auto"/>
        <w:ind w:left="4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7.特殊教育办学质量科学评价研究</w:t>
      </w:r>
    </w:p>
    <w:p w14:paraId="4A4BD483">
      <w:pPr>
        <w:pStyle w:val="2"/>
        <w:spacing w:line="356" w:lineRule="auto"/>
      </w:pPr>
    </w:p>
    <w:p w14:paraId="35960D38">
      <w:pPr>
        <w:spacing w:before="101" w:line="226" w:lineRule="auto"/>
        <w:ind w:left="40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三、省名师培育专项课题指南</w:t>
      </w:r>
    </w:p>
    <w:p w14:paraId="60F29B6E">
      <w:pPr>
        <w:pStyle w:val="2"/>
        <w:spacing w:line="357" w:lineRule="auto"/>
      </w:pPr>
    </w:p>
    <w:p w14:paraId="4149FDE4">
      <w:pPr>
        <w:spacing w:before="101" w:line="226" w:lineRule="auto"/>
        <w:ind w:left="4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1.弘扬践行教育家精神路径研究</w:t>
      </w:r>
    </w:p>
    <w:p w14:paraId="4FA1C66E">
      <w:pPr>
        <w:pStyle w:val="2"/>
        <w:spacing w:line="356" w:lineRule="auto"/>
      </w:pPr>
    </w:p>
    <w:p w14:paraId="06F47F44">
      <w:pPr>
        <w:spacing w:before="102" w:line="228" w:lineRule="auto"/>
        <w:ind w:left="4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2.名师成长规律及培育支持服务体系建设研究</w:t>
      </w:r>
    </w:p>
    <w:p w14:paraId="53AC4AD2">
      <w:pPr>
        <w:pStyle w:val="2"/>
        <w:spacing w:line="355" w:lineRule="auto"/>
      </w:pPr>
    </w:p>
    <w:p w14:paraId="48EFE1FE">
      <w:pPr>
        <w:spacing w:before="101" w:line="226" w:lineRule="auto"/>
        <w:ind w:left="4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3.新时代中小学教师核心素养研究</w:t>
      </w:r>
    </w:p>
    <w:p w14:paraId="079E61D4">
      <w:pPr>
        <w:pStyle w:val="2"/>
        <w:spacing w:line="356" w:lineRule="auto"/>
      </w:pPr>
    </w:p>
    <w:p w14:paraId="7FE56263">
      <w:pPr>
        <w:spacing w:before="101" w:line="226" w:lineRule="auto"/>
        <w:ind w:left="3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4.基于某学科的“教学评一致性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”教学实践研究</w:t>
      </w:r>
    </w:p>
    <w:p w14:paraId="1375B7A3">
      <w:pPr>
        <w:pStyle w:val="2"/>
        <w:spacing w:line="358" w:lineRule="auto"/>
      </w:pPr>
    </w:p>
    <w:p w14:paraId="226FF960">
      <w:pPr>
        <w:spacing w:before="101" w:line="227" w:lineRule="auto"/>
        <w:ind w:left="4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5.乡村教师人才发展研究</w:t>
      </w:r>
    </w:p>
    <w:p w14:paraId="03CC8748">
      <w:pPr>
        <w:pStyle w:val="2"/>
        <w:spacing w:line="355" w:lineRule="auto"/>
      </w:pPr>
    </w:p>
    <w:p w14:paraId="273A987E">
      <w:pPr>
        <w:spacing w:before="101" w:line="226" w:lineRule="auto"/>
        <w:ind w:left="3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6.名师示范引领、辐射带动作用发挥机制研究</w:t>
      </w:r>
    </w:p>
    <w:p w14:paraId="6C5CD183">
      <w:pPr>
        <w:pStyle w:val="2"/>
        <w:spacing w:line="358" w:lineRule="auto"/>
      </w:pPr>
    </w:p>
    <w:p w14:paraId="322E15D8">
      <w:pPr>
        <w:spacing w:before="101" w:line="227" w:lineRule="auto"/>
        <w:ind w:left="4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7.数字化赋能教师人才成长发展研究</w:t>
      </w:r>
    </w:p>
    <w:p w14:paraId="56ED4B22">
      <w:pPr>
        <w:pStyle w:val="2"/>
        <w:spacing w:line="356" w:lineRule="auto"/>
      </w:pPr>
    </w:p>
    <w:p w14:paraId="57C7E254">
      <w:pPr>
        <w:spacing w:before="101" w:line="226" w:lineRule="auto"/>
        <w:ind w:left="4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四、中小学科学教育专项课题指南</w:t>
      </w:r>
    </w:p>
    <w:p w14:paraId="617EBA1E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6" w:h="16839"/>
          <w:pgMar w:top="1431" w:right="1360" w:bottom="1943" w:left="1785" w:header="0" w:footer="1549" w:gutter="0"/>
          <w:cols w:space="720" w:num="1"/>
        </w:sectPr>
      </w:pPr>
    </w:p>
    <w:p w14:paraId="7913BC1E">
      <w:pPr>
        <w:pStyle w:val="2"/>
        <w:spacing w:line="285" w:lineRule="auto"/>
      </w:pPr>
    </w:p>
    <w:p w14:paraId="703C2DE5">
      <w:pPr>
        <w:pStyle w:val="2"/>
        <w:spacing w:line="286" w:lineRule="auto"/>
      </w:pPr>
    </w:p>
    <w:p w14:paraId="727D3E14">
      <w:pPr>
        <w:spacing w:before="101" w:line="226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1.完善中小学科学教育工作长效机制研究</w:t>
      </w:r>
    </w:p>
    <w:p w14:paraId="6D2F9D04">
      <w:pPr>
        <w:pStyle w:val="2"/>
        <w:spacing w:line="358" w:lineRule="auto"/>
      </w:pPr>
    </w:p>
    <w:p w14:paraId="363FA0B7">
      <w:pPr>
        <w:spacing w:before="101" w:line="227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中小学科学教育课程资源开发研究</w:t>
      </w:r>
    </w:p>
    <w:p w14:paraId="5EE7371D">
      <w:pPr>
        <w:pStyle w:val="2"/>
        <w:spacing w:line="355" w:lineRule="auto"/>
      </w:pPr>
    </w:p>
    <w:p w14:paraId="120F36AD">
      <w:pPr>
        <w:spacing w:before="101" w:line="228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中小学科学教育教学方式方法改革创新研究</w:t>
      </w:r>
    </w:p>
    <w:p w14:paraId="7D6D1F74">
      <w:pPr>
        <w:pStyle w:val="2"/>
        <w:spacing w:line="355" w:lineRule="auto"/>
      </w:pPr>
    </w:p>
    <w:p w14:paraId="0C0B4A95">
      <w:pPr>
        <w:spacing w:before="100" w:line="226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4.基于核心素养的中小学科学教育评价研究</w:t>
      </w:r>
    </w:p>
    <w:p w14:paraId="7959572E">
      <w:pPr>
        <w:pStyle w:val="2"/>
        <w:spacing w:line="357" w:lineRule="auto"/>
      </w:pPr>
    </w:p>
    <w:p w14:paraId="63F9CA98">
      <w:pPr>
        <w:spacing w:before="100" w:line="227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5.基于中小学科学教育的特色学校发展研究</w:t>
      </w:r>
    </w:p>
    <w:p w14:paraId="73DE4B9B">
      <w:pPr>
        <w:pStyle w:val="2"/>
        <w:spacing w:line="355" w:lineRule="auto"/>
      </w:pPr>
    </w:p>
    <w:p w14:paraId="05FD012C">
      <w:pPr>
        <w:spacing w:before="101" w:line="228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6.具备科学家潜质的科技拔尖创新人才发现培育研究</w:t>
      </w:r>
    </w:p>
    <w:p w14:paraId="673BE510">
      <w:pPr>
        <w:pStyle w:val="2"/>
        <w:spacing w:line="354" w:lineRule="auto"/>
      </w:pPr>
    </w:p>
    <w:p w14:paraId="2B3FAC81">
      <w:pPr>
        <w:spacing w:before="101" w:line="228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7.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中小学科学教育教师队伍建设研究</w:t>
      </w:r>
    </w:p>
    <w:p w14:paraId="4C333532">
      <w:pPr>
        <w:pStyle w:val="2"/>
        <w:spacing w:line="354" w:lineRule="auto"/>
      </w:pPr>
    </w:p>
    <w:p w14:paraId="7F46A488">
      <w:pPr>
        <w:spacing w:before="101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8.科学教育社会协同育人发展研究</w:t>
      </w:r>
    </w:p>
    <w:p w14:paraId="3E23FCF7">
      <w:pPr>
        <w:pStyle w:val="2"/>
        <w:spacing w:line="355" w:lineRule="auto"/>
      </w:pPr>
    </w:p>
    <w:p w14:paraId="4F09A6DA">
      <w:pPr>
        <w:spacing w:before="101" w:line="226" w:lineRule="auto"/>
        <w:ind w:left="65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五、校外教育培训管理专项课题指南</w:t>
      </w:r>
    </w:p>
    <w:p w14:paraId="02DFC0EF">
      <w:pPr>
        <w:spacing w:before="300" w:line="226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1.学科类校外培训隐形变异行为治理研究</w:t>
      </w:r>
    </w:p>
    <w:p w14:paraId="2E2BB752">
      <w:pPr>
        <w:pStyle w:val="2"/>
        <w:spacing w:line="356" w:lineRule="auto"/>
      </w:pPr>
    </w:p>
    <w:p w14:paraId="57D6B8D9">
      <w:pPr>
        <w:spacing w:before="101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2.非学科类校外培训规范管理与学校教育资源补充作用研究</w:t>
      </w:r>
    </w:p>
    <w:p w14:paraId="2C23BD44">
      <w:pPr>
        <w:pStyle w:val="2"/>
        <w:spacing w:line="358" w:lineRule="auto"/>
      </w:pPr>
    </w:p>
    <w:p w14:paraId="20B7FF04">
      <w:pPr>
        <w:spacing w:before="101" w:line="226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3.校外培训治理的法治保障与执法研究</w:t>
      </w:r>
    </w:p>
    <w:p w14:paraId="780207C2">
      <w:pPr>
        <w:pStyle w:val="2"/>
        <w:spacing w:line="356" w:lineRule="auto"/>
      </w:pPr>
    </w:p>
    <w:p w14:paraId="518E189D">
      <w:pPr>
        <w:spacing w:before="101" w:line="226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4.强化学校教育主阵地作用与校外培训治理联动机制研究</w:t>
      </w:r>
    </w:p>
    <w:p w14:paraId="1572AE48">
      <w:pPr>
        <w:pStyle w:val="2"/>
        <w:spacing w:line="358" w:lineRule="auto"/>
      </w:pPr>
    </w:p>
    <w:p w14:paraId="2E436EB4">
      <w:pPr>
        <w:spacing w:before="101" w:line="227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5.教育焦虑的成因及家校社协同减负纾困机制研究</w:t>
      </w:r>
    </w:p>
    <w:p w14:paraId="2E18A970">
      <w:pPr>
        <w:pStyle w:val="2"/>
        <w:spacing w:line="355" w:lineRule="auto"/>
      </w:pPr>
    </w:p>
    <w:p w14:paraId="3C7A5EF4">
      <w:pPr>
        <w:spacing w:before="101" w:line="226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6.校外培训治理促进教育公平的实效性评价研究</w:t>
      </w:r>
    </w:p>
    <w:p w14:paraId="26AA748A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547" w:bottom="1943" w:left="1540" w:header="0" w:footer="1549" w:gutter="0"/>
          <w:cols w:space="720" w:num="1"/>
        </w:sectPr>
      </w:pPr>
    </w:p>
    <w:p w14:paraId="78A89ABE">
      <w:pPr>
        <w:pStyle w:val="2"/>
        <w:spacing w:line="286" w:lineRule="auto"/>
      </w:pPr>
    </w:p>
    <w:p w14:paraId="08E004DE">
      <w:pPr>
        <w:pStyle w:val="2"/>
        <w:spacing w:line="286" w:lineRule="auto"/>
      </w:pPr>
    </w:p>
    <w:p w14:paraId="4F563906">
      <w:pPr>
        <w:spacing w:before="101" w:line="227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7.“双减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”后中小学生课余时间利用与全面发展情况追踪研究</w:t>
      </w:r>
    </w:p>
    <w:p w14:paraId="6EA68CFD">
      <w:pPr>
        <w:pStyle w:val="2"/>
        <w:spacing w:line="355" w:lineRule="auto"/>
      </w:pPr>
    </w:p>
    <w:p w14:paraId="377FD3B5">
      <w:pPr>
        <w:spacing w:before="100" w:line="316" w:lineRule="auto"/>
        <w:ind w:left="20" w:right="102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8.探索区域内（省域、市域或县域）校外培训治理体系与长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效机制建设研究</w:t>
      </w:r>
    </w:p>
    <w:p w14:paraId="0E248ECF">
      <w:pPr>
        <w:pStyle w:val="2"/>
        <w:spacing w:line="243" w:lineRule="auto"/>
      </w:pPr>
    </w:p>
    <w:p w14:paraId="40B88A11">
      <w:pPr>
        <w:pStyle w:val="2"/>
        <w:spacing w:line="244" w:lineRule="auto"/>
      </w:pPr>
    </w:p>
    <w:p w14:paraId="0DE262A6">
      <w:pPr>
        <w:pStyle w:val="2"/>
        <w:spacing w:line="244" w:lineRule="auto"/>
      </w:pPr>
    </w:p>
    <w:p w14:paraId="39303EB1">
      <w:pPr>
        <w:pStyle w:val="2"/>
        <w:spacing w:line="244" w:lineRule="auto"/>
      </w:pPr>
    </w:p>
    <w:p w14:paraId="56FDBBE5">
      <w:pPr>
        <w:pStyle w:val="2"/>
        <w:spacing w:line="244" w:lineRule="auto"/>
      </w:pPr>
    </w:p>
    <w:p w14:paraId="4837CBFA">
      <w:pPr>
        <w:spacing w:before="91" w:line="446" w:lineRule="auto"/>
        <w:ind w:firstLine="58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"/>
          <w:sz w:val="28"/>
          <w:szCs w:val="28"/>
        </w:rPr>
        <w:t>注：上述指南仅是专项课题的选题方向，申请者不应直接将</w:t>
      </w:r>
      <w:r>
        <w:rPr>
          <w:rFonts w:ascii="楷体" w:hAnsi="楷体" w:eastAsia="楷体" w:cs="楷体"/>
          <w:sz w:val="28"/>
          <w:szCs w:val="28"/>
        </w:rPr>
        <w:t xml:space="preserve">其作为课 </w:t>
      </w:r>
      <w:r>
        <w:rPr>
          <w:rFonts w:ascii="楷体" w:hAnsi="楷体" w:eastAsia="楷体" w:cs="楷体"/>
          <w:spacing w:val="-4"/>
          <w:sz w:val="28"/>
          <w:szCs w:val="28"/>
        </w:rPr>
        <w:t>题名称，可根据指南提供的方向，结合申报人的具体问题等确定申报课题。</w:t>
      </w:r>
    </w:p>
    <w:sectPr>
      <w:footerReference r:id="rId8" w:type="default"/>
      <w:pgSz w:w="11906" w:h="16839"/>
      <w:pgMar w:top="1431" w:right="1257" w:bottom="1943" w:left="1536" w:header="0" w:footer="15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BF923">
    <w:pPr>
      <w:spacing w:before="1" w:line="234" w:lineRule="auto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11"/>
        <w:sz w:val="30"/>
        <w:szCs w:val="30"/>
      </w:rPr>
      <w:t>—</w:t>
    </w:r>
    <w:r>
      <w:rPr>
        <w:rFonts w:ascii="仿宋" w:hAnsi="仿宋" w:eastAsia="仿宋" w:cs="仿宋"/>
        <w:spacing w:val="33"/>
        <w:sz w:val="30"/>
        <w:szCs w:val="30"/>
      </w:rPr>
      <w:t xml:space="preserve"> </w:t>
    </w:r>
    <w:r>
      <w:rPr>
        <w:rFonts w:ascii="仿宋" w:hAnsi="仿宋" w:eastAsia="仿宋" w:cs="仿宋"/>
        <w:spacing w:val="-11"/>
        <w:sz w:val="30"/>
        <w:szCs w:val="30"/>
      </w:rPr>
      <w:t>10</w:t>
    </w:r>
    <w:r>
      <w:rPr>
        <w:rFonts w:ascii="仿宋" w:hAnsi="仿宋" w:eastAsia="仿宋" w:cs="仿宋"/>
        <w:spacing w:val="10"/>
        <w:sz w:val="30"/>
        <w:szCs w:val="30"/>
      </w:rPr>
      <w:t xml:space="preserve"> </w:t>
    </w:r>
    <w:r>
      <w:rPr>
        <w:rFonts w:ascii="仿宋" w:hAnsi="仿宋" w:eastAsia="仿宋" w:cs="仿宋"/>
        <w:spacing w:val="-11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414AE">
    <w:pPr>
      <w:spacing w:line="236" w:lineRule="auto"/>
      <w:jc w:val="right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15"/>
        <w:sz w:val="30"/>
        <w:szCs w:val="30"/>
      </w:rPr>
      <w:t>—</w:t>
    </w:r>
    <w:r>
      <w:rPr>
        <w:rFonts w:ascii="仿宋" w:hAnsi="仿宋" w:eastAsia="仿宋" w:cs="仿宋"/>
        <w:spacing w:val="32"/>
        <w:sz w:val="30"/>
        <w:szCs w:val="30"/>
      </w:rPr>
      <w:t xml:space="preserve"> </w:t>
    </w:r>
    <w:r>
      <w:rPr>
        <w:rFonts w:ascii="仿宋" w:hAnsi="仿宋" w:eastAsia="仿宋" w:cs="仿宋"/>
        <w:spacing w:val="-14"/>
        <w:sz w:val="30"/>
        <w:szCs w:val="30"/>
      </w:rPr>
      <w:t>11</w:t>
    </w:r>
    <w:r>
      <w:rPr>
        <w:rFonts w:ascii="仿宋" w:hAnsi="仿宋" w:eastAsia="仿宋" w:cs="仿宋"/>
        <w:spacing w:val="9"/>
        <w:sz w:val="30"/>
        <w:szCs w:val="30"/>
      </w:rPr>
      <w:t xml:space="preserve"> </w:t>
    </w:r>
    <w:r>
      <w:rPr>
        <w:rFonts w:ascii="仿宋" w:hAnsi="仿宋" w:eastAsia="仿宋" w:cs="仿宋"/>
        <w:spacing w:val="-9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50643">
    <w:pPr>
      <w:spacing w:line="236" w:lineRule="auto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11"/>
        <w:sz w:val="30"/>
        <w:szCs w:val="30"/>
      </w:rPr>
      <w:t>—</w:t>
    </w:r>
    <w:r>
      <w:rPr>
        <w:rFonts w:ascii="仿宋" w:hAnsi="仿宋" w:eastAsia="仿宋" w:cs="仿宋"/>
        <w:spacing w:val="33"/>
        <w:sz w:val="30"/>
        <w:szCs w:val="30"/>
      </w:rPr>
      <w:t xml:space="preserve"> </w:t>
    </w:r>
    <w:r>
      <w:rPr>
        <w:rFonts w:ascii="仿宋" w:hAnsi="仿宋" w:eastAsia="仿宋" w:cs="仿宋"/>
        <w:spacing w:val="-11"/>
        <w:sz w:val="30"/>
        <w:szCs w:val="30"/>
      </w:rPr>
      <w:t>12</w:t>
    </w:r>
    <w:r>
      <w:rPr>
        <w:rFonts w:ascii="仿宋" w:hAnsi="仿宋" w:eastAsia="仿宋" w:cs="仿宋"/>
        <w:spacing w:val="10"/>
        <w:sz w:val="30"/>
        <w:szCs w:val="30"/>
      </w:rPr>
      <w:t xml:space="preserve"> </w:t>
    </w:r>
    <w:r>
      <w:rPr>
        <w:rFonts w:ascii="仿宋" w:hAnsi="仿宋" w:eastAsia="仿宋" w:cs="仿宋"/>
        <w:spacing w:val="-11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ADA3">
    <w:pPr>
      <w:spacing w:before="1" w:line="234" w:lineRule="auto"/>
      <w:ind w:left="7818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11"/>
        <w:sz w:val="30"/>
        <w:szCs w:val="30"/>
      </w:rPr>
      <w:t>—</w:t>
    </w:r>
    <w:r>
      <w:rPr>
        <w:rFonts w:ascii="仿宋" w:hAnsi="仿宋" w:eastAsia="仿宋" w:cs="仿宋"/>
        <w:spacing w:val="33"/>
        <w:sz w:val="30"/>
        <w:szCs w:val="30"/>
      </w:rPr>
      <w:t xml:space="preserve"> </w:t>
    </w:r>
    <w:r>
      <w:rPr>
        <w:rFonts w:ascii="仿宋" w:hAnsi="仿宋" w:eastAsia="仿宋" w:cs="仿宋"/>
        <w:spacing w:val="-11"/>
        <w:sz w:val="30"/>
        <w:szCs w:val="30"/>
      </w:rPr>
      <w:t>13</w:t>
    </w:r>
    <w:r>
      <w:rPr>
        <w:rFonts w:ascii="仿宋" w:hAnsi="仿宋" w:eastAsia="仿宋" w:cs="仿宋"/>
        <w:spacing w:val="10"/>
        <w:sz w:val="30"/>
        <w:szCs w:val="30"/>
      </w:rPr>
      <w:t xml:space="preserve"> </w:t>
    </w:r>
    <w:r>
      <w:rPr>
        <w:rFonts w:ascii="仿宋" w:hAnsi="仿宋" w:eastAsia="仿宋" w:cs="仿宋"/>
        <w:spacing w:val="-11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114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871</Words>
  <Characters>913</Characters>
  <TotalTime>0</TotalTime>
  <ScaleCrop>false</ScaleCrop>
  <LinksUpToDate>false</LinksUpToDate>
  <CharactersWithSpaces>923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2025-09-17T11:44:00Z</dcterms:created>
  <dc:creator>文印员</dc:creator>
  <cp:lastModifiedBy>李阳</cp:lastModifiedBy>
  <dcterms:modified xsi:type="dcterms:W3CDTF">2025-09-18T07:19:48Z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2025-09-18T15:19:41Z</vt:filetime>
  </property>
  <property fmtid="{D5CDD505-2E9C-101B-9397-08002B2CF9AE}" pid="4" name="KSOProductBuildVer">
    <vt:lpwstr>2052-12.1.0.22529</vt:lpwstr>
  </property>
  <property fmtid="{D5CDD505-2E9C-101B-9397-08002B2CF9AE}" pid="5" name="ICV">
    <vt:lpwstr>FA24F1B7B8E146ACACA757BB24AF32B9_13</vt:lpwstr>
  </property>
</Properties>
</file>