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0"/>
          <w:sz w:val="32"/>
          <w:szCs w:val="32"/>
          <w:lang w:val="en-US" w:eastAsia="zh-CN" w:bidi="ar"/>
        </w:rPr>
      </w:pPr>
      <w:r>
        <w:rPr>
          <w:rFonts w:hint="eastAsia" w:ascii="方正小标宋简体" w:hAnsi="方正小标宋简体" w:eastAsia="方正小标宋简体" w:cs="方正小标宋简体"/>
          <w:b w:val="0"/>
          <w:bCs w:val="0"/>
          <w:color w:val="auto"/>
          <w:kern w:val="0"/>
          <w:sz w:val="32"/>
          <w:szCs w:val="32"/>
          <w:lang w:val="en-US" w:eastAsia="zh-CN" w:bidi="ar"/>
        </w:rPr>
        <w:t>新能源汽车技术专业人才培养方案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bCs/>
          <w:color w:val="auto"/>
          <w:kern w:val="0"/>
          <w:sz w:val="28"/>
          <w:szCs w:val="28"/>
          <w:lang w:val="en-US" w:eastAsia="zh-CN"/>
        </w:rPr>
        <w:t xml:space="preserve">    一、专业名称及代码</w:t>
      </w:r>
      <w:r>
        <w:rPr>
          <w:rFonts w:hint="eastAsia" w:ascii="黑体" w:hAnsi="黑体" w:eastAsia="黑体" w:cs="黑体"/>
          <w:color w:val="auto"/>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color w:val="auto"/>
          <w:sz w:val="28"/>
          <w:szCs w:val="28"/>
        </w:rPr>
      </w:pPr>
      <w:r>
        <w:rPr>
          <w:rFonts w:hint="eastAsia" w:ascii="楷体" w:eastAsia="楷体"/>
          <w:b/>
          <w:bCs/>
          <w:color w:val="auto"/>
          <w:sz w:val="28"/>
          <w:szCs w:val="28"/>
          <w:lang w:val="en-US" w:eastAsia="zh-CN"/>
        </w:rPr>
        <w:t xml:space="preserve">（一）专业名称：新能源汽车技术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color w:val="auto"/>
          <w:lang w:val="en-US"/>
        </w:rPr>
      </w:pPr>
      <w:r>
        <w:rPr>
          <w:rFonts w:hint="eastAsia" w:ascii="楷体" w:eastAsia="楷体"/>
          <w:b/>
          <w:bCs/>
          <w:color w:val="auto"/>
          <w:sz w:val="28"/>
          <w:szCs w:val="28"/>
          <w:lang w:val="en-US" w:eastAsia="zh-CN"/>
        </w:rPr>
        <w:t>（二）专业代码：</w:t>
      </w:r>
      <w:r>
        <w:rPr>
          <w:rFonts w:hint="eastAsia" w:ascii="楷体" w:hAnsi="楷体" w:eastAsia="楷体" w:cs="楷体"/>
          <w:color w:val="auto"/>
          <w:kern w:val="0"/>
          <w:sz w:val="24"/>
          <w:szCs w:val="24"/>
          <w:lang w:val="en-US" w:eastAsia="zh-CN" w:bidi="ar"/>
        </w:rPr>
        <w:t xml:space="preserve"> </w:t>
      </w:r>
      <w:r>
        <w:rPr>
          <w:rFonts w:hint="eastAsia" w:ascii="楷体" w:hAnsi="楷体" w:eastAsia="楷体" w:cs="楷体"/>
          <w:color w:val="auto"/>
          <w:kern w:val="0"/>
          <w:sz w:val="28"/>
          <w:szCs w:val="28"/>
          <w:lang w:val="en-US" w:eastAsia="zh-CN" w:bidi="ar"/>
        </w:rPr>
        <w:t>460702</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color w:val="auto"/>
          <w:sz w:val="28"/>
          <w:szCs w:val="28"/>
        </w:rPr>
      </w:pPr>
      <w:r>
        <w:rPr>
          <w:rFonts w:hint="eastAsia" w:ascii="楷体" w:eastAsia="楷体"/>
          <w:b/>
          <w:bCs/>
          <w:color w:val="auto"/>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color w:val="auto"/>
          <w:sz w:val="28"/>
          <w:szCs w:val="28"/>
        </w:rPr>
      </w:pPr>
      <w:r>
        <w:rPr>
          <w:rFonts w:hint="eastAsia" w:ascii="楷体" w:eastAsia="楷体"/>
          <w:b/>
          <w:bCs/>
          <w:color w:val="auto"/>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color w:val="auto"/>
          <w:lang w:val="en-US"/>
        </w:rPr>
      </w:pPr>
      <w:r>
        <w:rPr>
          <w:rFonts w:hint="eastAsia" w:ascii="楷体" w:hAnsi="楷体" w:eastAsia="楷体" w:cs="楷体"/>
          <w:color w:val="auto"/>
          <w:kern w:val="0"/>
          <w:sz w:val="24"/>
          <w:szCs w:val="24"/>
          <w:lang w:val="en-US" w:eastAsia="zh-CN" w:bidi="ar"/>
        </w:rPr>
        <w:t xml:space="preserve">    专业所属大类： 装备制造</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color w:val="auto"/>
        </w:rPr>
      </w:pPr>
      <w:r>
        <w:rPr>
          <w:rFonts w:hint="eastAsia" w:ascii="楷体" w:hAnsi="楷体" w:eastAsia="楷体" w:cs="楷体"/>
          <w:color w:val="auto"/>
          <w:kern w:val="0"/>
          <w:sz w:val="24"/>
          <w:szCs w:val="24"/>
          <w:lang w:val="en-US" w:eastAsia="zh-CN" w:bidi="ar"/>
        </w:rPr>
        <w:t xml:space="preserve">    所属大类代码：46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面向行业： 新能源汽车整车制造；新能源汽车维护保养；新能源汽车性能检测。</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就业面向分析：新能源汽车技术专业毕业后可从事汽车定损、新能源汽车销售等相关工作。就业岗位有新能源汽车制造、新能源汽车机电维修、新能源车辆性能检测、新能源汽车新技术培训等；</w:t>
      </w:r>
      <w:r>
        <w:rPr>
          <w:rFonts w:hint="eastAsia" w:ascii="楷体" w:hAnsi="楷体" w:eastAsia="楷体" w:cs="楷体"/>
          <w:color w:val="auto"/>
        </w:rPr>
        <w:t>能源与环保问题日益突出，新能源汽车无疑会成为未来汽车的发展方向。因此，新能源汽车技术专业所培养的人才定然是未来的稀缺人才</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新能源汽车工程技术人员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新能源汽车检测</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default"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1.能够根据车况判断故障类型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2.能够排查故障点并解决</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维修检验工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新能源汽车整车制造</w:t>
            </w:r>
          </w:p>
        </w:tc>
        <w:tc>
          <w:tcPr>
            <w:tcW w:w="2065" w:type="dxa"/>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具备指导工人进行整车组装的能力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2.具备编制工艺顺序的能力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初级工程师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新能源汽车结构设计</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1.具备根据具体要求做出相应结构设计的能力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结构设计师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汽车保险技术人员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汽车保险</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1.能够根据车辆信息做出合理保险方案</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保险业务员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汽车定损理赔</w:t>
            </w:r>
          </w:p>
        </w:tc>
        <w:tc>
          <w:tcPr>
            <w:tcW w:w="2065" w:type="dxa"/>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能够根据现场照片列出受损部位零部件清单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2.对事故车辆进行定损并报价</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定损员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default"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新车及二手车交易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color w:val="auto"/>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销售顾问</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1.具备与客户有效沟通的能力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助理营销师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二手车鉴定与评估</w:t>
            </w:r>
          </w:p>
        </w:tc>
        <w:tc>
          <w:tcPr>
            <w:tcW w:w="2065" w:type="dxa"/>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能够准确评估二手车市场价格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left"/>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2.能够准确判断出二手车的车况</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zh-CN"/>
              </w:rPr>
            </w:pPr>
            <w:r>
              <w:rPr>
                <w:rFonts w:hint="eastAsia" w:ascii="仿宋_GB2312" w:hAnsi="仿宋_GB2312" w:eastAsia="仿宋_GB2312" w:cs="仿宋_GB2312"/>
                <w:color w:val="auto"/>
                <w:kern w:val="2"/>
                <w:sz w:val="24"/>
                <w:szCs w:val="24"/>
                <w:vertAlign w:val="baseline"/>
                <w:lang w:val="en-US" w:eastAsia="zh-CN"/>
              </w:rPr>
              <w:t>二手车评估师</w:t>
            </w:r>
          </w:p>
        </w:tc>
      </w:tr>
    </w:tbl>
    <w:p>
      <w:pPr>
        <w:keepNext w:val="0"/>
        <w:keepLines w:val="0"/>
        <w:widowControl/>
        <w:suppressLineNumbers w:val="0"/>
        <w:jc w:val="left"/>
        <w:rPr>
          <w:color w:val="auto"/>
        </w:rPr>
      </w:pPr>
      <w:r>
        <w:rPr>
          <w:rFonts w:hint="eastAsia" w:ascii="楷体" w:hAnsi="楷体" w:eastAsia="楷体" w:cs="楷体"/>
          <w:color w:val="auto"/>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bCs/>
          <w:color w:val="auto"/>
          <w:kern w:val="0"/>
          <w:sz w:val="28"/>
          <w:szCs w:val="28"/>
          <w:lang w:val="en-US" w:eastAsia="zh-CN"/>
        </w:rPr>
        <w:t>四、培养目标与培养规格</w:t>
      </w:r>
      <w:r>
        <w:rPr>
          <w:rFonts w:hint="eastAsia" w:ascii="黑体" w:hAnsi="黑体" w:eastAsia="黑体" w:cs="黑体"/>
          <w:color w:val="auto"/>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color w:val="auto"/>
          <w:sz w:val="28"/>
          <w:szCs w:val="28"/>
        </w:rPr>
      </w:pPr>
      <w:r>
        <w:rPr>
          <w:rFonts w:hint="eastAsia" w:ascii="楷体" w:eastAsia="楷体"/>
          <w:b/>
          <w:bCs/>
          <w:color w:val="auto"/>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本专业培养践行社会主义核心价值观，德、智、体、美、劳全面发展，适应</w:t>
      </w:r>
      <w:r>
        <w:rPr>
          <w:rFonts w:hint="default" w:ascii="仿宋_GB2312" w:hAnsi="仿宋_GB2312" w:eastAsia="仿宋_GB2312" w:cs="仿宋_GB2312"/>
          <w:color w:val="auto"/>
          <w:sz w:val="28"/>
          <w:szCs w:val="28"/>
          <w:lang w:val="en-US" w:eastAsia="zh-CN"/>
        </w:rPr>
        <w:t>社会主义现代化建设以及区域经济发展需要，面向</w:t>
      </w:r>
      <w:r>
        <w:rPr>
          <w:rFonts w:hint="eastAsia" w:ascii="仿宋_GB2312" w:hAnsi="仿宋_GB2312" w:eastAsia="仿宋_GB2312" w:cs="仿宋_GB2312"/>
          <w:color w:val="auto"/>
          <w:sz w:val="28"/>
          <w:szCs w:val="28"/>
          <w:lang w:val="en-US" w:eastAsia="zh-CN"/>
        </w:rPr>
        <w:t>新能源汽车制造、新能源汽车检测与维修</w:t>
      </w:r>
      <w:r>
        <w:rPr>
          <w:rFonts w:hint="default" w:ascii="仿宋_GB2312" w:hAnsi="仿宋_GB2312" w:eastAsia="仿宋_GB2312" w:cs="仿宋_GB2312"/>
          <w:color w:val="auto"/>
          <w:sz w:val="28"/>
          <w:szCs w:val="28"/>
          <w:lang w:val="en-US" w:eastAsia="zh-CN"/>
        </w:rPr>
        <w:t>行业一线，掌握</w:t>
      </w:r>
      <w:r>
        <w:rPr>
          <w:rFonts w:hint="eastAsia" w:ascii="仿宋_GB2312" w:hAnsi="仿宋_GB2312" w:eastAsia="仿宋_GB2312" w:cs="仿宋_GB2312"/>
          <w:color w:val="auto"/>
          <w:sz w:val="28"/>
          <w:szCs w:val="28"/>
          <w:lang w:val="en-US" w:eastAsia="zh-CN"/>
        </w:rPr>
        <w:t>新能源汽车技术</w:t>
      </w:r>
      <w:r>
        <w:rPr>
          <w:rFonts w:hint="default" w:ascii="仿宋_GB2312" w:hAnsi="仿宋_GB2312" w:eastAsia="仿宋_GB2312" w:cs="仿宋_GB2312"/>
          <w:color w:val="auto"/>
          <w:sz w:val="28"/>
          <w:szCs w:val="28"/>
          <w:lang w:val="en-US" w:eastAsia="zh-CN"/>
        </w:rPr>
        <w:t>的基础知识和专业技能，能够在</w:t>
      </w:r>
      <w:r>
        <w:rPr>
          <w:rFonts w:hint="eastAsia" w:ascii="仿宋_GB2312" w:hAnsi="仿宋_GB2312" w:eastAsia="仿宋_GB2312" w:cs="仿宋_GB2312"/>
          <w:color w:val="auto"/>
          <w:sz w:val="28"/>
          <w:szCs w:val="28"/>
          <w:lang w:val="en-US" w:eastAsia="zh-CN"/>
        </w:rPr>
        <w:t>新能源汽车整车制造及新能源汽车检测与维修岗位</w:t>
      </w:r>
      <w:r>
        <w:rPr>
          <w:rFonts w:hint="default" w:ascii="仿宋_GB2312" w:hAnsi="仿宋_GB2312" w:eastAsia="仿宋_GB2312" w:cs="仿宋_GB2312"/>
          <w:color w:val="auto"/>
          <w:sz w:val="28"/>
          <w:szCs w:val="28"/>
          <w:lang w:val="en-US" w:eastAsia="zh-CN"/>
        </w:rPr>
        <w:t>从事</w:t>
      </w:r>
      <w:r>
        <w:rPr>
          <w:rFonts w:hint="eastAsia" w:ascii="仿宋_GB2312" w:hAnsi="仿宋_GB2312" w:eastAsia="仿宋_GB2312" w:cs="仿宋_GB2312"/>
          <w:color w:val="auto"/>
          <w:sz w:val="28"/>
          <w:szCs w:val="28"/>
          <w:lang w:val="en-US" w:eastAsia="zh-CN"/>
        </w:rPr>
        <w:t>指导生产、排查并解决相应故障</w:t>
      </w:r>
      <w:r>
        <w:rPr>
          <w:rFonts w:hint="default" w:ascii="仿宋_GB2312" w:hAnsi="仿宋_GB2312" w:eastAsia="仿宋_GB2312" w:cs="仿宋_GB2312"/>
          <w:color w:val="auto"/>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color w:val="auto"/>
          <w:sz w:val="28"/>
          <w:szCs w:val="28"/>
          <w:lang w:val="en-US" w:eastAsia="zh-CN"/>
        </w:rPr>
      </w:pPr>
      <w:r>
        <w:rPr>
          <w:rFonts w:hint="eastAsia" w:ascii="楷体" w:eastAsia="楷体"/>
          <w:b/>
          <w:bCs/>
          <w:color w:val="auto"/>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1.知识要求 </w:t>
      </w:r>
    </w:p>
    <w:p>
      <w:pPr>
        <w:spacing w:line="360" w:lineRule="auto"/>
        <w:ind w:firstLine="560" w:firstLineChars="200"/>
        <w:rPr>
          <w:rFonts w:hint="eastAsia" w:ascii="仿宋" w:hAnsi="仿宋" w:eastAsia="仿宋" w:cs="Arial"/>
          <w:color w:val="auto"/>
          <w:sz w:val="28"/>
          <w:szCs w:val="28"/>
          <w:lang w:eastAsia="zh-CN"/>
        </w:rPr>
      </w:pPr>
      <w:r>
        <w:rPr>
          <w:rFonts w:ascii="仿宋" w:hAnsi="仿宋" w:eastAsia="仿宋" w:cs="Arial"/>
          <w:color w:val="auto"/>
          <w:sz w:val="28"/>
          <w:szCs w:val="28"/>
        </w:rPr>
        <w:t>(1) 掌握必备的思想政治理论、科学文化基础知识</w:t>
      </w:r>
      <w:r>
        <w:rPr>
          <w:rFonts w:hint="eastAsia" w:ascii="仿宋" w:hAnsi="仿宋" w:eastAsia="仿宋" w:cs="Arial"/>
          <w:color w:val="auto"/>
          <w:sz w:val="28"/>
          <w:szCs w:val="28"/>
          <w:lang w:eastAsia="zh-CN"/>
        </w:rPr>
        <w:t>。</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(2) 熟悉与本专业相关的法律法规以及环境保护、安全消防等知识。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3</w:t>
      </w:r>
      <w:r>
        <w:rPr>
          <w:rFonts w:ascii="仿宋" w:hAnsi="仿宋" w:eastAsia="仿宋" w:cs="Arial"/>
          <w:color w:val="auto"/>
          <w:sz w:val="28"/>
          <w:szCs w:val="28"/>
        </w:rPr>
        <w:t>) 掌握各类新能源汽车的基本结构和技术特点。</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4</w:t>
      </w:r>
      <w:r>
        <w:rPr>
          <w:rFonts w:ascii="仿宋" w:hAnsi="仿宋" w:eastAsia="仿宋" w:cs="Arial"/>
          <w:color w:val="auto"/>
          <w:sz w:val="28"/>
          <w:szCs w:val="28"/>
        </w:rPr>
        <w:t>) 熟悉高压电的安全防护和技术措施。</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5</w:t>
      </w:r>
      <w:r>
        <w:rPr>
          <w:rFonts w:ascii="仿宋" w:hAnsi="仿宋" w:eastAsia="仿宋" w:cs="Arial"/>
          <w:color w:val="auto"/>
          <w:sz w:val="28"/>
          <w:szCs w:val="28"/>
        </w:rPr>
        <w:t>) 掌握动力电池管理系统和上电控制逻辑知识。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6</w:t>
      </w:r>
      <w:r>
        <w:rPr>
          <w:rFonts w:ascii="仿宋" w:hAnsi="仿宋" w:eastAsia="仿宋" w:cs="Arial"/>
          <w:color w:val="auto"/>
          <w:sz w:val="28"/>
          <w:szCs w:val="28"/>
        </w:rPr>
        <w:t>) 掌握永磁同步电机的工作原理。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7</w:t>
      </w:r>
      <w:r>
        <w:rPr>
          <w:rFonts w:ascii="仿宋" w:hAnsi="仿宋" w:eastAsia="仿宋" w:cs="Arial"/>
          <w:color w:val="auto"/>
          <w:sz w:val="28"/>
          <w:szCs w:val="28"/>
        </w:rPr>
        <w:t>) 了解新能源汽车的热管理系统知识。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8</w:t>
      </w:r>
      <w:r>
        <w:rPr>
          <w:rFonts w:ascii="仿宋" w:hAnsi="仿宋" w:eastAsia="仿宋" w:cs="Arial"/>
          <w:color w:val="auto"/>
          <w:sz w:val="28"/>
          <w:szCs w:val="28"/>
        </w:rPr>
        <w:t>) 掌握新能源汽车的充电类型和交直流充放电控制逻辑知识。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9</w:t>
      </w:r>
      <w:r>
        <w:rPr>
          <w:rFonts w:ascii="仿宋" w:hAnsi="仿宋" w:eastAsia="仿宋" w:cs="Arial"/>
          <w:color w:val="auto"/>
          <w:sz w:val="28"/>
          <w:szCs w:val="28"/>
        </w:rPr>
        <w:t>)掌握新能源汽车整车电源分配和网络架构知识。</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w:t>
      </w:r>
      <w:r>
        <w:rPr>
          <w:rFonts w:hint="eastAsia" w:ascii="仿宋" w:hAnsi="仿宋" w:eastAsia="仿宋" w:cs="Arial"/>
          <w:color w:val="auto"/>
          <w:sz w:val="28"/>
          <w:szCs w:val="28"/>
          <w:lang w:val="en-US" w:eastAsia="zh-CN"/>
        </w:rPr>
        <w:t>10</w:t>
      </w:r>
      <w:r>
        <w:rPr>
          <w:rFonts w:ascii="仿宋" w:hAnsi="仿宋" w:eastAsia="仿宋" w:cs="Arial"/>
          <w:color w:val="auto"/>
          <w:sz w:val="28"/>
          <w:szCs w:val="28"/>
        </w:rPr>
        <w:t>)掌握新能源汽车的故障诊断策略知识。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auto"/>
          <w:kern w:val="0"/>
          <w:sz w:val="24"/>
          <w:szCs w:val="24"/>
          <w:lang w:val="en-US" w:eastAsia="zh-CN" w:bidi="ar"/>
        </w:rPr>
      </w:pPr>
      <w:r>
        <w:rPr>
          <w:rFonts w:hint="eastAsia" w:ascii="仿宋_GB2312" w:hAnsi="仿宋_GB2312" w:eastAsia="仿宋_GB2312" w:cs="仿宋_GB2312"/>
          <w:b/>
          <w:bCs/>
          <w:color w:val="auto"/>
          <w:sz w:val="28"/>
          <w:szCs w:val="28"/>
          <w:lang w:val="en-US" w:eastAsia="zh-CN"/>
        </w:rPr>
        <w:t>2.能力要求</w:t>
      </w:r>
      <w:r>
        <w:rPr>
          <w:rFonts w:hint="eastAsia" w:ascii="宋体" w:hAnsi="宋体" w:eastAsia="宋体" w:cs="宋体"/>
          <w:color w:val="auto"/>
          <w:kern w:val="0"/>
          <w:sz w:val="24"/>
          <w:szCs w:val="24"/>
          <w:lang w:val="en-US" w:eastAsia="zh-CN" w:bidi="ar"/>
        </w:rPr>
        <w:t xml:space="preserve"> </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(1) 具有探究学习、终身学习、分析问题和解决问题的能力。</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(2) 具有良好的语言、文字表达能力和沟通能力。</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(3) 能够识别新能源汽车的组件和仪表报警灯的含义。</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(4) 能够遵循安全操作规范，从事新能源汽车装配与调整。</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(5) 能够根据用户手册或保养手册要求进行新能源汽车的维护。</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(6) 能够使用高压电检测设备工具进行高压断电、高压绝缘检测。</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(7) 能够进行新能源汽车高压驱动系统的性能检测和组件更换。</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(8) 能够进行新能源汽车电路分析。</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(9) 能够进行新能源汽车CAN总线的检测和分析。</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(10) 能够进行新能源汽车暖风和空调系统的检测和组件更换。</w:t>
      </w:r>
    </w:p>
    <w:p>
      <w:pPr>
        <w:spacing w:line="360" w:lineRule="auto"/>
        <w:ind w:firstLine="560" w:firstLineChars="200"/>
        <w:rPr>
          <w:rFonts w:ascii="仿宋" w:hAnsi="仿宋" w:eastAsia="仿宋" w:cs="Arial"/>
          <w:color w:val="auto"/>
          <w:sz w:val="28"/>
          <w:szCs w:val="28"/>
        </w:rPr>
      </w:pPr>
      <w:r>
        <w:rPr>
          <w:rFonts w:ascii="仿宋" w:hAnsi="仿宋" w:eastAsia="仿宋" w:cs="Arial"/>
          <w:color w:val="auto"/>
          <w:sz w:val="28"/>
          <w:szCs w:val="28"/>
        </w:rPr>
        <w:t>(11) 能够进行新能源汽车故障码和数据流的分析。</w:t>
      </w:r>
    </w:p>
    <w:p>
      <w:pPr>
        <w:ind w:firstLine="560" w:firstLineChars="200"/>
        <w:rPr>
          <w:rFonts w:hint="eastAsia"/>
          <w:color w:val="auto"/>
          <w:sz w:val="28"/>
          <w:szCs w:val="28"/>
        </w:rPr>
      </w:pPr>
      <w:r>
        <w:rPr>
          <w:rFonts w:ascii="仿宋" w:hAnsi="仿宋" w:eastAsia="仿宋" w:cs="Arial"/>
          <w:color w:val="auto"/>
          <w:sz w:val="28"/>
          <w:szCs w:val="28"/>
        </w:rPr>
        <w:t>(12) 能够判断新能源汽车常见故障并进行检测维修。</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3.职业素养 </w:t>
      </w:r>
    </w:p>
    <w:p>
      <w:pPr>
        <w:spacing w:line="360" w:lineRule="auto"/>
        <w:ind w:firstLine="560" w:firstLineChars="200"/>
        <w:rPr>
          <w:rFonts w:ascii="仿宋" w:hAnsi="仿宋" w:eastAsia="仿宋" w:cs="Arial"/>
          <w:color w:val="auto"/>
          <w:sz w:val="28"/>
          <w:szCs w:val="28"/>
        </w:rPr>
      </w:pPr>
      <w:r>
        <w:rPr>
          <w:rFonts w:hint="eastAsia" w:ascii="仿宋" w:hAnsi="仿宋" w:eastAsia="仿宋" w:cs="Arial"/>
          <w:color w:val="auto"/>
          <w:sz w:val="28"/>
          <w:szCs w:val="28"/>
        </w:rPr>
        <w:t>（1）坚定拥护中国共产党领导和我国社会主义制度，在习近平新时代中国特色社会主义思想指引下，践行社会主义核心价值观，具有深厚的爱国情感和中华民族自豪感。</w:t>
      </w:r>
    </w:p>
    <w:p>
      <w:pPr>
        <w:spacing w:line="360" w:lineRule="auto"/>
        <w:ind w:firstLine="560" w:firstLineChars="200"/>
        <w:rPr>
          <w:rFonts w:ascii="仿宋" w:hAnsi="仿宋" w:eastAsia="仿宋" w:cs="Arial"/>
          <w:color w:val="auto"/>
          <w:sz w:val="28"/>
          <w:szCs w:val="28"/>
        </w:rPr>
      </w:pPr>
      <w:bookmarkStart w:id="0" w:name="bookmark27"/>
      <w:bookmarkEnd w:id="0"/>
      <w:r>
        <w:rPr>
          <w:rFonts w:hint="eastAsia" w:ascii="仿宋" w:hAnsi="仿宋" w:eastAsia="仿宋" w:cs="Arial"/>
          <w:color w:val="auto"/>
          <w:sz w:val="28"/>
          <w:szCs w:val="28"/>
        </w:rPr>
        <w:t>（2）崇尚宪法、遵法守纪、崇德向善、诚实守信、尊重生命、热爱劳动，履行道德准 则和行为规范，具有社会责任感和社会参与意识。</w:t>
      </w:r>
    </w:p>
    <w:p>
      <w:pPr>
        <w:spacing w:line="360" w:lineRule="auto"/>
        <w:ind w:firstLine="560" w:firstLineChars="200"/>
        <w:rPr>
          <w:rFonts w:ascii="仿宋" w:hAnsi="仿宋" w:eastAsia="仿宋" w:cs="Arial"/>
          <w:color w:val="auto"/>
          <w:sz w:val="28"/>
          <w:szCs w:val="28"/>
        </w:rPr>
      </w:pPr>
      <w:bookmarkStart w:id="1" w:name="bookmark28"/>
      <w:bookmarkEnd w:id="1"/>
      <w:r>
        <w:rPr>
          <w:rFonts w:hint="eastAsia" w:ascii="仿宋" w:hAnsi="仿宋" w:eastAsia="仿宋" w:cs="Arial"/>
          <w:color w:val="auto"/>
          <w:sz w:val="28"/>
          <w:szCs w:val="28"/>
        </w:rPr>
        <w:t>（3）具有质量意识、环保意识、安全意识、信息素养、工匠精神、创新思维。</w:t>
      </w:r>
    </w:p>
    <w:p>
      <w:pPr>
        <w:spacing w:line="360" w:lineRule="auto"/>
        <w:ind w:firstLine="560" w:firstLineChars="200"/>
        <w:rPr>
          <w:rFonts w:ascii="仿宋" w:hAnsi="仿宋" w:eastAsia="仿宋" w:cs="Arial"/>
          <w:color w:val="auto"/>
          <w:sz w:val="28"/>
          <w:szCs w:val="28"/>
        </w:rPr>
      </w:pPr>
      <w:bookmarkStart w:id="2" w:name="bookmark29"/>
      <w:bookmarkEnd w:id="2"/>
      <w:r>
        <w:rPr>
          <w:rFonts w:hint="eastAsia" w:ascii="仿宋" w:hAnsi="仿宋" w:eastAsia="仿宋" w:cs="Arial"/>
          <w:color w:val="auto"/>
          <w:sz w:val="28"/>
          <w:szCs w:val="28"/>
        </w:rPr>
        <w:t>（4）勇于奋斗、乐观向上，具有自我管理能力、职业生涯规划的意识，有较强的集体意识和团队合作精神。</w:t>
      </w:r>
    </w:p>
    <w:p>
      <w:pPr>
        <w:spacing w:line="360" w:lineRule="auto"/>
        <w:ind w:firstLine="560" w:firstLineChars="200"/>
        <w:rPr>
          <w:rFonts w:hint="default" w:ascii="FZShuSong-Z01S" w:hAnsi="FZShuSong-Z01S" w:eastAsia="FZShuSong-Z01S" w:cs="FZShuSong-Z01S"/>
          <w:color w:val="auto"/>
          <w:kern w:val="0"/>
          <w:sz w:val="24"/>
          <w:szCs w:val="24"/>
          <w:lang w:val="en-US" w:eastAsia="zh-CN" w:bidi="ar"/>
        </w:rPr>
      </w:pPr>
      <w:bookmarkStart w:id="3" w:name="bookmark30"/>
      <w:bookmarkEnd w:id="3"/>
      <w:r>
        <w:rPr>
          <w:rFonts w:hint="eastAsia" w:ascii="仿宋" w:hAnsi="仿宋" w:eastAsia="仿宋" w:cs="Arial"/>
          <w:color w:val="auto"/>
          <w:sz w:val="28"/>
          <w:szCs w:val="28"/>
        </w:rPr>
        <w:t>（5）具有健康的体魄、心理和健全的人格，掌握基本运动知识和运动技能，养成良好的健身与卫生习惯</w:t>
      </w:r>
      <w:r>
        <w:rPr>
          <w:rFonts w:hint="eastAsia" w:ascii="仿宋" w:hAnsi="仿宋" w:eastAsia="仿宋" w:cs="Arial"/>
          <w:color w:val="auto"/>
          <w:sz w:val="28"/>
          <w:szCs w:val="28"/>
          <w:lang w:val="en-US" w:eastAsia="zh-CN"/>
        </w:rPr>
        <w:t>及</w:t>
      </w:r>
      <w:r>
        <w:rPr>
          <w:rFonts w:hint="eastAsia" w:ascii="仿宋" w:hAnsi="仿宋" w:eastAsia="仿宋" w:cs="Arial"/>
          <w:color w:val="auto"/>
          <w:sz w:val="28"/>
          <w:szCs w:val="28"/>
        </w:rPr>
        <w:t>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color w:val="auto"/>
          <w:sz w:val="28"/>
          <w:szCs w:val="28"/>
          <w:lang w:val="en-US" w:eastAsia="zh-CN"/>
        </w:rPr>
      </w:pPr>
      <w:r>
        <w:rPr>
          <w:rFonts w:hint="eastAsia" w:ascii="楷体" w:eastAsia="楷体"/>
          <w:b/>
          <w:bCs/>
          <w:color w:val="auto"/>
          <w:sz w:val="28"/>
          <w:szCs w:val="28"/>
          <w:lang w:val="en-US" w:eastAsia="zh-CN"/>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学习这门课的主要目的，是从当代大学生面临和关心的实际问题出发，以正确的人生观、价值观、道德观和法制观教育为主线，通过理论学习和实践体验，帮助大学生形成崇高的理想信念，弘扬伟大的爱国主义精神，确立正确的人生观和价值观，自觉认同和践行社会主义核心价值观，培养良好的思想道德素质和法律素质，进一步提高分辨是非、善恶、美丑和加强自我修养能力，适应社会主义现代化建设的需要，为逐渐成为德智体美全面发展的社会主义事业的合格建设者和接班人，打下扎实的思想道德和法律基础和提升实践能力，为实现中华民族伟大复兴的中国梦贡献自己的力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了解中国发展的新方位，中国特色社会主义进入了新时代；理解中国特色社会主义进入新时代的实践价值和世界意义；掌握大学学习新特点及本课程的特点和基本教学要求，掌握学习本课程的学习方法，尽快适应大学新生活。增强学习的积极性和主动性，明确自己肩负的历史使命和时代责任，树立成材目标，努力提高思想道德素质和法治素养，具备以中华民族伟大复兴为己任，承担时代使命，践行社会主义核心价值观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教学，使学生了解马克思主义中国化时代化的历史进程，认识毛泽东思想和中国特色社会主义理论体系是马克思主义基本原理和中国具体实际相结合的历史性飞跃的理论成果，是中国化时代化的马克思主义的结晶，是马克思主义与时俱进理论品质最显著、最集中的体现。正确认识马克思主义中国化时代化两大理论成果在指导中国革命和建设中的重要历史地位和作用，掌握中国化时代化马克思主义的基本理论和精神实质，帮助学生确立科学社会主义信仰和建设中国特色社会主义的共同理想，坚定中国特色社会主义的道路自信、理论自信和制度自信，增强执行党的基本路线和基本纲领的自觉性和坚定性。同时，培养学生运用毛泽东思想和中国特色社会主义理论体系的基本理论指导自己的实际行动，并努力提高自己分析问题和解决问题的能力，为全面建设小康社会和实现中华民族伟大复兴的中国梦做出自己应有的贡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着重讲授中国共产党人如何实现马克思主义基本原理与中国实际相结合，实现马克思主义中国化时代化的历史飞跃与创造性发展理论成果，帮助学生系统掌握毛泽东思想和中国特色社会主义理论体系（邓小平理论、“三个代表”重要思想、科学发展观）的基本原理，以及各大理论成果产生的时代背景、实践基础、科学内涵、精神实质和历史地位。进而帮助大学生坚定马克思主义信念，坚定在中国共产党的领导下走中国特色社会主义道路的信念，增强理解与执行党的基本理论、基本路线、基本纲领、基本经验的主动性和自觉性，在未来的职业生涯中，坚定不移走中国特色社会主义道路，为实现中华民族伟大复兴的中国梦而承担起历史使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把握毛泽东思想、邓小平理论、“三个代表”重要思想、科学发展观的基本理论，深刻理解马克思主义中国化时代化的科学内涵和重大意义，使学生了解当代中国社会主义建设和改革的一系列重大基本问题，帮助学生坚定马克思主义信念，进一步树立正确的世界观、人生观和价值观；树立建设中国特色社会主义的坚定信念，增强掌握和执行党的基本理论、基本路线、基本纲领、基本经验的自觉性，承担起历史使命，把学生培养成为中国特色社会主义的建设者和接班人。同时要通过实践教学，促使学生把学习科学理论与专业知识结合起来，把书本知识与投身社会实践结合起来，培养学生独立思考和勇于创新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形势与政策》课是一门公共必修课。该课程是高校思想政治理论课的重要组成部分，是帮助大学生正确认识新时代国内外形势，拥护党的路线、方针和政策，深入学习贯彻党的二十大精神的核心课程，是第一时间推动党的理论创新成果进教材进课堂进学生头脑，引导大学生准确理解党的基本理论、基本路线、基本方略的重要渠道。通过形势政策教育，帮助学生开阔视野，及时了解和正确对待国内外重大时事，正确认识世情、国情。使大学生基本掌握该课程的基础理论知识，学会用正确的观点和方法观察分析国内外形势，珍惜和维护国家稳定的大局，激发爱国主义热情，增强民族自信心和社会责任感，坚持走中国特色社会主义道路，以中国式现代化不断推进中华民族伟大复兴。</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主要教学内容：本课程教学内容主要根据教育部和省教育厅下发的每学期“形势与政策教育教学要点”来确定，主要包括加强党的建设、经济社会发展、涉港澳台事务、国际形势政策四大部分。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由于“形势与政策”课的内容具有理论性与时效性的特点，因此其内容具有特殊性，不同于传统课程有固定的教学内容体系。本课程教学内容根据教育部和省教育厅下发的每学期“形势与政策教育教学要点”以及结合学生关注的热点、焦点问题来确定，组织实施“形势与政策”课的教育教学工作。本课程分专题来讲授。每讲均要求学生积极、主动思考，认真听讲，课下吸收、运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（5）习近平新时代中国特色社会主义思想概论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color w:val="auto"/>
          <w:sz w:val="28"/>
          <w:szCs w:val="28"/>
          <w:lang w:val="en-US" w:eastAsia="zh-CN"/>
        </w:rPr>
      </w:pPr>
      <w:r>
        <w:rPr>
          <w:rFonts w:hint="eastAsia" w:ascii="楷体" w:eastAsia="楷体"/>
          <w:b/>
          <w:bCs/>
          <w:color w:val="auto"/>
          <w:sz w:val="28"/>
          <w:szCs w:val="28"/>
          <w:lang w:val="en-US" w:eastAsia="zh-CN"/>
        </w:rPr>
        <w:t xml:space="preserve">（二）专业核心课程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1.汽车构造</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课程目标：培养学生</w:t>
      </w:r>
      <w:r>
        <w:rPr>
          <w:rFonts w:hint="eastAsia" w:ascii="仿宋" w:hAnsi="仿宋" w:eastAsia="仿宋" w:cs="仿宋"/>
          <w:color w:val="auto"/>
          <w:sz w:val="28"/>
          <w:szCs w:val="28"/>
          <w:lang w:val="en-US" w:eastAsia="zh-CN"/>
        </w:rPr>
        <w:t>对汽车整体构造的基本认识，</w:t>
      </w:r>
      <w:r>
        <w:rPr>
          <w:rFonts w:hint="eastAsia" w:ascii="仿宋" w:hAnsi="仿宋" w:eastAsia="仿宋" w:cs="仿宋"/>
          <w:color w:val="auto"/>
          <w:sz w:val="28"/>
          <w:szCs w:val="28"/>
        </w:rPr>
        <w:t>有效地把知识转化为相应的工作能力和技能。</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主要内容：汽车发动机、汽车底盘、汽车电气系统、汽车车身各部分的结构与工作原理；</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教学要求：掌握汽车总成结构的认识；掌握发动机各机构、系统的组成件结构认识；掌握底盘各系统的组成件结构认识；汽车电气设备结构与使用方法认识；不同汽车类型车身结构认识；拓展知识了解。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2.新能源汽车驱动电机与控制技术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目标：学生掌握常用电动机的结构及其控制方法，培养学生对常用电动机的维护、保养与检修的技能和解决实际问题的能力；对学生进行职业意识培养和职业道德教育，提高学生的综合素质与职业能力，增强学生适应职业变化的能力，为学生职业生涯的发展奠定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主要内容：直流电机；单相、三相异步电动机；单相串励电动机；</w:t>
      </w:r>
      <w:r>
        <w:rPr>
          <w:rFonts w:hint="eastAsia" w:ascii="仿宋" w:hAnsi="仿宋" w:eastAsia="仿宋" w:cs="仿宋"/>
          <w:color w:val="auto"/>
          <w:kern w:val="0"/>
          <w:sz w:val="28"/>
          <w:szCs w:val="28"/>
          <w:lang w:val="en-US" w:eastAsia="zh-CN"/>
        </w:rPr>
        <w:t>驱动</w:t>
      </w:r>
      <w:r>
        <w:rPr>
          <w:rFonts w:hint="eastAsia" w:ascii="仿宋" w:hAnsi="仿宋" w:eastAsia="仿宋" w:cs="仿宋"/>
          <w:color w:val="auto"/>
          <w:kern w:val="0"/>
          <w:sz w:val="28"/>
          <w:szCs w:val="28"/>
        </w:rPr>
        <w:t>电动机及其控制；电动机维修；制冷压缩电动机及其控制电路。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教学要求：使学生能掌握</w:t>
      </w:r>
      <w:r>
        <w:rPr>
          <w:rFonts w:hint="eastAsia" w:ascii="仿宋" w:hAnsi="仿宋" w:eastAsia="仿宋" w:cs="仿宋"/>
          <w:color w:val="auto"/>
          <w:kern w:val="0"/>
          <w:sz w:val="28"/>
          <w:szCs w:val="28"/>
          <w:lang w:val="en-US" w:eastAsia="zh-CN"/>
        </w:rPr>
        <w:t>常用</w:t>
      </w:r>
      <w:r>
        <w:rPr>
          <w:rFonts w:hint="eastAsia" w:ascii="仿宋" w:hAnsi="仿宋" w:eastAsia="仿宋" w:cs="仿宋"/>
          <w:color w:val="auto"/>
          <w:kern w:val="0"/>
          <w:sz w:val="28"/>
          <w:szCs w:val="28"/>
        </w:rPr>
        <w:t>电动机</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驱动电机、</w:t>
      </w:r>
      <w:r>
        <w:rPr>
          <w:rFonts w:hint="eastAsia" w:ascii="仿宋" w:hAnsi="仿宋" w:eastAsia="仿宋" w:cs="仿宋"/>
          <w:color w:val="auto"/>
          <w:kern w:val="0"/>
          <w:sz w:val="28"/>
          <w:szCs w:val="28"/>
        </w:rPr>
        <w:t>单相异步电动机、直流电动机和单相串励电动机的结构、原理及应用，以及电动类、制冷空调类电器专用电动机的结构及其控制方法。熟悉对上述电动机进行维护、保养与检修。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3.新能源汽车故障诊断</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课程目标：通过本课程学习，使学生初步对纯电动汽车的使用和维修有比较系统的了解，初步学会动手检测、调试和维修纯电动汽车的常见故障，为今后从事新能源汽车行业工作打下坚实基础。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主要内容：纯电动汽车整体结构特点；电池故障检修；电机故障检修；能量传递路线故障检修；电控系统故障检修。</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要求：掌握对纯电动汽车的机械构造和电子控制系统的构造和性能，掌握纯电动汽车和传统汽柴油机车的主要结构和功能忒点的区别，对纯电动汽车的使用和维修有比较系统的了解，初步学会动手检测、调试和维修纯电动汽车的常见故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4.新能源汽车高压安全与防护</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课程目标：使学生获得</w:t>
      </w:r>
      <w:r>
        <w:rPr>
          <w:rFonts w:hint="eastAsia" w:ascii="仿宋" w:hAnsi="仿宋" w:eastAsia="仿宋" w:cs="仿宋"/>
          <w:color w:val="auto"/>
          <w:kern w:val="0"/>
          <w:sz w:val="28"/>
          <w:szCs w:val="28"/>
          <w:lang w:val="en-US" w:eastAsia="zh-CN"/>
        </w:rPr>
        <w:t>高压</w:t>
      </w:r>
      <w:r>
        <w:rPr>
          <w:rFonts w:hint="eastAsia" w:ascii="仿宋" w:hAnsi="仿宋" w:eastAsia="仿宋" w:cs="仿宋"/>
          <w:color w:val="auto"/>
          <w:kern w:val="0"/>
          <w:sz w:val="28"/>
          <w:szCs w:val="28"/>
        </w:rPr>
        <w:t>电工基础知识，掌握电路分析的一般方法，对汽车的基本电路具有初步的分析能力 ，为今后继续学习和应用汽车新技术打下一定的基础。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主要教学内容：电学基础知识；汽车电工常用工具的使用；常用绝缘工具的识别和使用；高压电基础知识；高压安全与防护；高压安全法规要求。</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教学基本要求：通过本课程的学习，使学生掌握必要的电工技术的基础理论知识；了解常用的电工器材、电机设备以及由此组成的典型电路的基本原理和应用；接受必要的电工实验技能的训练。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5.新能源汽车整车控制技术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目标：本课程的任务是使学生学习综合、系统地应用自动控制专业知识，熟悉并初步掌握新能源汽车控制系统的原理和基本设计思路与方法，具备开发新能源汽车控制系统的初步研制能力。力求使学生能结合我国汽车工业和控制技术应用等领域的现状和发展，了解国内外新能源汽车研制的新成果和新动态，拓展知识面，提高相关的专业技能。</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主要内容：新能源汽车；新能源汽车的电动机驱动系统；新能源汽车的储能装置；新能源汽车的能量管理系统；充放电系统；循环冷却系统；辅助系统。</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要求：了解新能源汽车的性能、特点、结构与指标要求，以及最新的发展动态。综合应用自动控制专业知识，进一步理解掌握新能源汽车的控制技术，包括新能源汽车驱动系统控制机构和控制策略。掌握新能源汽车构成原理及设计步骤。以新能源汽车为控制对象，进一步学习新能源汽车控制系统的新技术和 发展趋势，学习系统地应用自动控制专业知识的方法，提高专业实际分析能 力和应用技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6.新能源汽车储能装置与管理系统</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课程目标：</w:t>
      </w:r>
      <w:r>
        <w:rPr>
          <w:rFonts w:hint="eastAsia" w:ascii="仿宋" w:hAnsi="仿宋" w:eastAsia="仿宋" w:cs="仿宋"/>
          <w:color w:val="auto"/>
          <w:sz w:val="28"/>
          <w:szCs w:val="28"/>
          <w:lang w:val="en-US" w:eastAsia="zh-CN"/>
        </w:rPr>
        <w:t>新能源汽车储能装置与管理系统</w:t>
      </w:r>
      <w:r>
        <w:rPr>
          <w:rFonts w:hint="eastAsia" w:ascii="仿宋" w:hAnsi="仿宋" w:eastAsia="仿宋" w:cs="仿宋"/>
          <w:color w:val="auto"/>
          <w:kern w:val="0"/>
          <w:sz w:val="28"/>
          <w:szCs w:val="28"/>
        </w:rPr>
        <w:t>在于培养学生具备从事汽车新能源技术方向的动力电池管理及维护方面的职业能力。</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主要内容：动力电池、动力电池管理系统、动力电池状态的实时监测、动力电池的安全保护、动力电池的均衡控制、动力电池的信息管理、热管理系统、动力电池系统的使用与维护。</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教学要求：通过本课程的学习，掌握汽车涉及的动力电池管理及维护方面的基本操作技能。培养学生具有良好的职业素质，树立了正确的职业观，以及培养学生高尚的职业道德，练就高超的职业操作技能</w:t>
      </w:r>
      <w:r>
        <w:rPr>
          <w:rFonts w:hint="eastAsia" w:ascii="仿宋" w:hAnsi="仿宋" w:eastAsia="仿宋" w:cs="仿宋"/>
          <w:color w:val="auto"/>
          <w:kern w:val="0"/>
          <w:sz w:val="28"/>
          <w:szCs w:val="28"/>
          <w:lang w:eastAsia="zh-CN"/>
        </w:rPr>
        <w:t>。</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7.汽车电气设备与维修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课程目标：本课程从工作岗位需求出发，以能力培养定学习目标，在学习中注重学员专业能力方法能力和社会能力的养成，以适应将来从事汽车维修及相关行业生产、建设、管理、服务一线的高等技术应用性专门人才的岗位能力需求。</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内容：汽车的电源系统组成、原理；照明系统组成、原理；信号系统组成、原理；空调系统组成、原理；安全气囊系统组成、原理；智能仪表组成、原理；中控门锁组成、原理；电动座椅组成、原理；常见辅助电器设备组成、原理；仪表系统组成、原理；防盗系统组成、原理；汽车电器设备常见故障、诊断与排除方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 w:hAnsi="仿宋" w:eastAsia="仿宋" w:cs="仿宋"/>
          <w:color w:val="auto"/>
          <w:sz w:val="28"/>
          <w:szCs w:val="28"/>
        </w:rPr>
        <w:t>教学要求：能根据技术的可实施性对汽车电路故障维修任务进行评价和分析。能采取行动导向确定汽车电路和电气系统检测与修复的步骤。能使用专用设备、仪器对汽车电气系统进行检测。</w:t>
      </w:r>
      <w:r>
        <w:rPr>
          <w:rFonts w:hint="eastAsia" w:ascii="仿宋" w:hAnsi="仿宋" w:eastAsia="仿宋" w:cs="仿宋"/>
          <w:color w:val="auto"/>
          <w:sz w:val="28"/>
          <w:szCs w:val="28"/>
          <w:lang w:val="en-US" w:eastAsia="zh-CN"/>
        </w:rPr>
        <w:t>掌握</w:t>
      </w:r>
      <w:r>
        <w:rPr>
          <w:rFonts w:hint="eastAsia" w:ascii="仿宋" w:hAnsi="仿宋" w:eastAsia="仿宋" w:cs="仿宋"/>
          <w:color w:val="auto"/>
          <w:sz w:val="28"/>
          <w:szCs w:val="28"/>
        </w:rPr>
        <w:t>各</w:t>
      </w:r>
      <w:r>
        <w:rPr>
          <w:rFonts w:hint="eastAsia" w:ascii="仿宋" w:hAnsi="仿宋" w:eastAsia="仿宋" w:cs="仿宋"/>
          <w:color w:val="auto"/>
          <w:sz w:val="28"/>
          <w:szCs w:val="28"/>
          <w:lang w:val="en-US" w:eastAsia="zh-CN"/>
        </w:rPr>
        <w:t>零</w:t>
      </w:r>
      <w:r>
        <w:rPr>
          <w:rFonts w:hint="eastAsia" w:ascii="仿宋" w:hAnsi="仿宋" w:eastAsia="仿宋" w:cs="仿宋"/>
          <w:color w:val="auto"/>
          <w:sz w:val="28"/>
          <w:szCs w:val="28"/>
        </w:rPr>
        <w:t>部件的检修方法与更换。能根据质量要求进行汽车</w:t>
      </w:r>
      <w:r>
        <w:rPr>
          <w:rFonts w:hint="eastAsia" w:ascii="仿宋" w:hAnsi="仿宋" w:eastAsia="仿宋" w:cs="仿宋"/>
          <w:color w:val="auto"/>
          <w:sz w:val="28"/>
          <w:szCs w:val="28"/>
          <w:lang w:val="en-US" w:eastAsia="zh-CN"/>
        </w:rPr>
        <w:t>零部件进行维修、更换</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688</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624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1088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2400</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2688</w:t>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各类课程学时比例</w:t>
      </w:r>
      <w:r>
        <w:rPr>
          <w:rFonts w:hint="eastAsia" w:ascii="宋体" w:hAnsi="宋体" w:eastAsia="宋体" w:cs="宋体"/>
          <w:color w:val="auto"/>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40.5%</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bCs/>
          <w:color w:val="auto"/>
          <w:kern w:val="0"/>
          <w:sz w:val="28"/>
          <w:szCs w:val="28"/>
          <w:lang w:val="en-US" w:eastAsia="zh-CN"/>
        </w:rPr>
        <w:t xml:space="preserve">    七、毕业要求</w:t>
      </w:r>
      <w:r>
        <w:rPr>
          <w:rFonts w:hint="eastAsia" w:ascii="黑体" w:hAnsi="黑体" w:eastAsia="黑体" w:cs="黑体"/>
          <w:color w:val="auto"/>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宋体" w:hAnsi="宋体" w:eastAsia="宋体" w:cs="宋体"/>
          <w:color w:val="auto"/>
          <w:kern w:val="0"/>
          <w:sz w:val="24"/>
          <w:szCs w:val="24"/>
          <w:lang w:val="en-US" w:eastAsia="zh-CN" w:bidi="ar"/>
        </w:rPr>
        <w:t xml:space="preserve">    </w:t>
      </w:r>
      <w:r>
        <w:rPr>
          <w:rFonts w:hint="eastAsia" w:ascii="仿宋_GB2312" w:hAnsi="仿宋_GB2312" w:eastAsia="仿宋_GB2312" w:cs="仿宋_GB2312"/>
          <w:color w:val="auto"/>
          <w:sz w:val="28"/>
          <w:szCs w:val="28"/>
          <w:lang w:val="en-US" w:eastAsia="zh-CN"/>
        </w:rPr>
        <w:t>修业期满，符合国家和学校相关规定，修读完人才培养方案规定的课程，成</w:t>
      </w:r>
      <w:r>
        <w:rPr>
          <w:rFonts w:hint="default" w:ascii="仿宋_GB2312" w:hAnsi="仿宋_GB2312" w:eastAsia="仿宋_GB2312" w:cs="仿宋_GB2312"/>
          <w:color w:val="auto"/>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color w:val="auto"/>
          <w:kern w:val="0"/>
          <w:sz w:val="28"/>
          <w:szCs w:val="28"/>
          <w:lang w:val="en-US" w:eastAsia="zh-CN" w:bidi="zh-CN"/>
        </w:rPr>
        <w:t>新能源汽车技术专业教学进程计划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347"/>
        <w:gridCol w:w="42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第二学年</w:t>
            </w:r>
          </w:p>
        </w:tc>
        <w:tc>
          <w:tcPr>
            <w:tcW w:w="77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第三学年</w:t>
            </w:r>
          </w:p>
        </w:tc>
        <w:tc>
          <w:tcPr>
            <w:tcW w:w="9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9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r>
              <w:rPr>
                <w:rFonts w:hint="eastAsia" w:ascii="仿宋_GB2312" w:hAnsi="仿宋_GB2312" w:eastAsia="仿宋_GB2312" w:cs="仿宋_GB2312"/>
                <w:color w:val="auto"/>
                <w:kern w:val="2"/>
                <w:sz w:val="15"/>
                <w:szCs w:val="15"/>
                <w:lang w:val="en-US" w:eastAsia="zh-CN" w:bidi="ar"/>
              </w:rPr>
              <w:t>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000009G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r>
              <w:rPr>
                <w:rFonts w:hint="eastAsia" w:ascii="仿宋_GB2312" w:hAnsi="仿宋_GB2312" w:eastAsia="仿宋_GB2312" w:cs="仿宋_GB2312"/>
                <w:color w:val="auto"/>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习近平新时代中国特色社会主义思想概论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大学英语</w:t>
            </w:r>
            <w:r>
              <w:rPr>
                <w:rFonts w:hint="eastAsia" w:ascii="微软雅黑" w:hAnsi="微软雅黑" w:eastAsia="微软雅黑" w:cs="微软雅黑"/>
                <w:color w:val="auto"/>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大学英语</w:t>
            </w:r>
            <w:r>
              <w:rPr>
                <w:rFonts w:hint="eastAsia" w:ascii="微软雅黑" w:hAnsi="微软雅黑" w:eastAsia="微软雅黑" w:cs="微软雅黑"/>
                <w:color w:val="auto"/>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大学体育</w:t>
            </w:r>
            <w:r>
              <w:rPr>
                <w:rFonts w:hint="eastAsia" w:ascii="微软雅黑" w:hAnsi="微软雅黑" w:eastAsia="微软雅黑" w:cs="微软雅黑"/>
                <w:color w:val="auto"/>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大学体育</w:t>
            </w:r>
            <w:r>
              <w:rPr>
                <w:rFonts w:hint="eastAsia" w:ascii="微软雅黑" w:hAnsi="微软雅黑" w:eastAsia="微软雅黑" w:cs="微软雅黑"/>
                <w:color w:val="auto"/>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大学体育</w:t>
            </w:r>
            <w:r>
              <w:rPr>
                <w:rFonts w:hint="eastAsia" w:ascii="微软雅黑" w:hAnsi="微软雅黑" w:eastAsia="微软雅黑" w:cs="微软雅黑"/>
                <w:color w:val="auto"/>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auto"/>
                <w:spacing w:val="-11"/>
                <w:kern w:val="2"/>
                <w:sz w:val="15"/>
                <w:szCs w:val="15"/>
                <w:lang w:val="en-US" w:eastAsia="zh-CN" w:bidi="ar"/>
              </w:rPr>
            </w:pPr>
            <w:r>
              <w:rPr>
                <w:rFonts w:hint="eastAsia" w:ascii="仿宋_GB2312" w:hAnsi="仿宋_GB2312" w:eastAsia="仿宋_GB2312" w:cs="仿宋_GB2312"/>
                <w:color w:val="auto"/>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41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688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506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150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28</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9</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8"/>
                <w:szCs w:val="18"/>
                <w:lang w:eastAsia="en-US"/>
              </w:rPr>
              <w:t>000053</w:t>
            </w:r>
            <w:r>
              <w:rPr>
                <w:rFonts w:hint="eastAsia" w:ascii="仿宋_GB2312" w:hAnsi="仿宋_GB2312" w:eastAsia="仿宋_GB2312" w:cs="仿宋_GB2312"/>
                <w:color w:val="auto"/>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zh-CN"/>
              </w:rPr>
            </w:pPr>
            <w:r>
              <w:rPr>
                <w:rFonts w:hint="eastAsia" w:ascii="仿宋_GB2312" w:hAnsi="仿宋_GB2312" w:eastAsia="仿宋_GB2312" w:cs="仿宋_GB2312"/>
                <w:color w:val="auto"/>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zh-CN"/>
              </w:rPr>
            </w:pPr>
            <w:r>
              <w:rPr>
                <w:rFonts w:hint="eastAsia" w:ascii="仿宋_GB2312" w:hAnsi="仿宋_GB2312" w:eastAsia="仿宋_GB2312" w:cs="仿宋_GB2312"/>
                <w:color w:val="auto"/>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8"/>
                <w:szCs w:val="18"/>
                <w:lang w:eastAsia="en-US"/>
              </w:rPr>
              <w:t>000081</w:t>
            </w:r>
            <w:r>
              <w:rPr>
                <w:rFonts w:hint="eastAsia" w:ascii="仿宋_GB2312" w:hAnsi="仿宋_GB2312" w:eastAsia="仿宋_GB2312" w:cs="仿宋_GB2312"/>
                <w:color w:val="auto"/>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zh-CN"/>
              </w:rPr>
            </w:pPr>
            <w:r>
              <w:rPr>
                <w:rFonts w:hint="eastAsia" w:ascii="仿宋_GB2312" w:hAnsi="仿宋_GB2312" w:eastAsia="仿宋_GB2312" w:cs="仿宋_GB2312"/>
                <w:color w:val="auto"/>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zh-CN"/>
              </w:rPr>
            </w:pPr>
            <w:r>
              <w:rPr>
                <w:rFonts w:hint="eastAsia" w:ascii="仿宋_GB2312" w:hAnsi="仿宋_GB2312" w:eastAsia="仿宋_GB2312" w:cs="仿宋_GB2312"/>
                <w:color w:val="auto"/>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6</w:t>
            </w:r>
            <w:r>
              <w:rPr>
                <w:rFonts w:hint="eastAsia" w:ascii="仿宋_GB2312" w:hAnsi="仿宋_GB2312" w:eastAsia="仿宋_GB2312" w:cs="仿宋_GB2312"/>
                <w:b/>
                <w:bCs/>
                <w:color w:val="auto"/>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汽车机械基础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汽车构造*</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汽车电工电子技术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新能源汽车驱动电机与控制技术*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新能源汽车储能装置与管理系统*</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汽车电气设备与维修*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新能源汽车故障诊断*</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新能源汽车整车控制技术*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汽车保险理赔</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新能源汽车高压安全与防护*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39</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368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240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汽车营销实务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汽车美容与装饰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汽车维护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二手车鉴定与评估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现代汽车新技术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汽车新能源节能技术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22</w:t>
            </w:r>
            <w:r>
              <w:rPr>
                <w:rFonts w:hint="eastAsia" w:ascii="仿宋_GB2312" w:hAnsi="仿宋_GB2312" w:eastAsia="仿宋_GB2312" w:cs="仿宋_GB2312"/>
                <w:b/>
                <w:bCs/>
                <w:color w:val="auto"/>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53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880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206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720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272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8项 44周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1088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sum(C46:C48)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1</w:t>
            </w:r>
            <w:r>
              <w:rPr>
                <w:rFonts w:hint="default" w:ascii="仿宋_GB2312" w:hAnsi="仿宋_GB2312" w:eastAsia="仿宋_GB2312" w:cs="仿宋_GB2312"/>
                <w:b/>
                <w:bCs/>
                <w:color w:val="auto"/>
                <w:kern w:val="0"/>
                <w:sz w:val="15"/>
                <w:szCs w:val="15"/>
                <w:vertAlign w:val="baseline"/>
                <w:lang w:val="en-US" w:eastAsia="zh-CN" w:bidi="ar"/>
              </w:rPr>
              <w:fldChar w:fldCharType="end"/>
            </w:r>
            <w:r>
              <w:rPr>
                <w:rFonts w:hint="eastAsia" w:ascii="仿宋_GB2312" w:hAnsi="仿宋_GB2312" w:eastAsia="仿宋_GB2312" w:cs="仿宋_GB2312"/>
                <w:b/>
                <w:bCs/>
                <w:color w:val="auto"/>
                <w:kern w:val="0"/>
                <w:sz w:val="15"/>
                <w:szCs w:val="15"/>
                <w:vertAlign w:val="baseline"/>
                <w:lang w:val="en-US" w:eastAsia="zh-CN" w:bidi="ar"/>
              </w:rPr>
              <w:t>42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2688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478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注：</w:t>
      </w:r>
      <w:r>
        <w:rPr>
          <w:rFonts w:hint="default"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US" w:eastAsia="zh-CN"/>
        </w:rPr>
        <w:t xml:space="preserve">核心课程 </w:t>
      </w:r>
      <w:r>
        <w:rPr>
          <w:rFonts w:hint="default" w:ascii="仿宋_GB2312" w:hAnsi="仿宋_GB2312" w:eastAsia="仿宋_GB2312" w:cs="仿宋_GB2312"/>
          <w:color w:val="auto"/>
          <w:sz w:val="28"/>
          <w:szCs w:val="28"/>
          <w:lang w:val="en-US" w:eastAsia="zh-CN"/>
        </w:rPr>
        <w:t xml:space="preserve">6--8 </w:t>
      </w:r>
      <w:r>
        <w:rPr>
          <w:rFonts w:hint="eastAsia" w:ascii="仿宋_GB2312" w:hAnsi="仿宋_GB2312" w:eastAsia="仿宋_GB2312" w:cs="仿宋_GB2312"/>
          <w:color w:val="auto"/>
          <w:sz w:val="28"/>
          <w:szCs w:val="28"/>
          <w:lang w:val="en-US" w:eastAsia="zh-CN"/>
        </w:rPr>
        <w:t>门；</w:t>
      </w:r>
      <w:r>
        <w:rPr>
          <w:rFonts w:hint="default"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US" w:eastAsia="zh-CN"/>
        </w:rPr>
        <w:t>核心课程名称后面加</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sectPr>
          <w:pgSz w:w="16838" w:h="11906" w:orient="landscape"/>
          <w:pgMar w:top="2098" w:right="1474" w:bottom="1984" w:left="1587" w:header="851" w:footer="992" w:gutter="0"/>
          <w:pgNumType w:fmt="numberInDash"/>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
        <w:gridCol w:w="449"/>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周数</w:t>
            </w:r>
          </w:p>
        </w:tc>
        <w:tc>
          <w:tcPr>
            <w:tcW w:w="2860" w:type="dxa"/>
            <w:gridSpan w:val="8"/>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1</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2</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军事训练</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3</w:t>
            </w: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公益劳动</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1</w:t>
            </w:r>
          </w:p>
        </w:tc>
        <w:tc>
          <w:tcPr>
            <w:tcW w:w="2860" w:type="dxa"/>
            <w:gridSpan w:val="8"/>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030106Z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跟岗实习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职业资格取证培训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r>
              <w:rPr>
                <w:rFonts w:hint="eastAsia" w:ascii="仿宋_GB2312" w:hAnsi="仿宋_GB2312" w:eastAsia="仿宋_GB2312" w:cs="仿宋_GB2312"/>
                <w:color w:val="auto"/>
                <w:kern w:val="0"/>
                <w:sz w:val="18"/>
                <w:szCs w:val="18"/>
                <w:vertAlign w:val="baseline"/>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金工实习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476"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76"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44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color w:val="auto"/>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030214Z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汽车拆装实训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030215Z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汽车驾驶实训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030107Z</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auto"/>
                <w:kern w:val="2"/>
                <w:sz w:val="18"/>
                <w:szCs w:val="18"/>
                <w:lang w:val="en-US" w:bidi="ar"/>
              </w:rPr>
            </w:pPr>
            <w:r>
              <w:rPr>
                <w:rFonts w:hint="eastAsia" w:ascii="仿宋_GB2312" w:hAnsi="仿宋_GB2312" w:eastAsia="仿宋_GB2312" w:cs="仿宋_GB2312"/>
                <w:color w:val="auto"/>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2</w:t>
            </w:r>
            <w:r>
              <w:rPr>
                <w:rFonts w:hint="eastAsia" w:ascii="仿宋_GB2312" w:hAnsi="仿宋_GB2312" w:eastAsia="仿宋_GB2312" w:cs="仿宋_GB2312"/>
                <w:color w:val="auto"/>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2</w:t>
            </w:r>
            <w:r>
              <w:rPr>
                <w:rFonts w:hint="eastAsia" w:ascii="仿宋_GB2312" w:hAnsi="仿宋_GB2312" w:eastAsia="仿宋_GB2312" w:cs="仿宋_GB2312"/>
                <w:color w:val="auto"/>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校内/校外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2"/>
                <w:sz w:val="18"/>
                <w:szCs w:val="18"/>
                <w:lang w:val="en-US" w:eastAsia="zh-CN" w:bidi="ar"/>
              </w:rPr>
            </w:pPr>
            <w:r>
              <w:rPr>
                <w:rFonts w:hint="eastAsia" w:ascii="仿宋_GB2312" w:hAnsi="仿宋_GB2312" w:eastAsia="仿宋_GB2312" w:cs="仿宋_GB2312"/>
                <w:color w:val="auto"/>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8项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44</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44</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3</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10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r>
              <w:rPr>
                <w:rFonts w:hint="eastAsia" w:ascii="仿宋_GB2312" w:hAnsi="仿宋_GB2312" w:eastAsia="仿宋_GB2312" w:cs="仿宋_GB2312"/>
                <w:color w:val="auto"/>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color w:val="auto"/>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color w:val="auto"/>
          <w:kern w:val="0"/>
          <w:sz w:val="28"/>
          <w:szCs w:val="28"/>
          <w:lang w:val="en-US" w:eastAsia="zh-CN" w:bidi="zh-CN"/>
        </w:rPr>
      </w:pPr>
      <w:r>
        <w:rPr>
          <w:rFonts w:hint="eastAsia" w:ascii="黑体" w:hAnsi="黑体" w:eastAsia="黑体" w:cs="黑体"/>
          <w:color w:val="auto"/>
          <w:kern w:val="0"/>
          <w:sz w:val="28"/>
          <w:szCs w:val="28"/>
          <w:lang w:val="en-US" w:eastAsia="zh-CN" w:bidi="zh-CN"/>
        </w:rPr>
        <w:t>选修课</w:t>
      </w:r>
    </w:p>
    <w:tbl>
      <w:tblPr>
        <w:tblStyle w:val="8"/>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color w:val="auto"/>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公共限</w:t>
            </w:r>
            <w:r>
              <w:rPr>
                <w:rFonts w:hint="eastAsia" w:ascii="仿宋_GB2312" w:hAnsi="仿宋_GB2312" w:eastAsia="仿宋_GB2312" w:cs="仿宋_GB2312"/>
                <w:color w:val="auto"/>
                <w:sz w:val="18"/>
                <w:szCs w:val="18"/>
                <w:lang w:val="en-US" w:eastAsia="zh-CN"/>
              </w:rPr>
              <w:t>定</w:t>
            </w:r>
            <w:r>
              <w:rPr>
                <w:rFonts w:hint="eastAsia" w:ascii="仿宋_GB2312" w:hAnsi="仿宋_GB2312" w:eastAsia="仿宋_GB2312" w:cs="仿宋_GB2312"/>
                <w:color w:val="auto"/>
                <w:sz w:val="18"/>
                <w:szCs w:val="18"/>
                <w:lang w:eastAsia="en-US"/>
              </w:rPr>
              <w:t>选</w:t>
            </w:r>
            <w:r>
              <w:rPr>
                <w:rFonts w:hint="eastAsia" w:ascii="仿宋_GB2312" w:hAnsi="仿宋_GB2312" w:eastAsia="仿宋_GB2312" w:cs="仿宋_GB2312"/>
                <w:color w:val="auto"/>
                <w:sz w:val="18"/>
                <w:szCs w:val="18"/>
                <w:lang w:val="en-US" w:eastAsia="zh-CN"/>
              </w:rPr>
              <w:t>修</w:t>
            </w:r>
            <w:r>
              <w:rPr>
                <w:rFonts w:hint="eastAsia" w:ascii="仿宋_GB2312" w:hAnsi="仿宋_GB2312" w:eastAsia="仿宋_GB2312" w:cs="仿宋_GB2312"/>
                <w:color w:val="auto"/>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w:t>
            </w:r>
            <w:r>
              <w:rPr>
                <w:rFonts w:hint="eastAsia" w:ascii="仿宋_GB2312" w:hAnsi="仿宋_GB2312" w:eastAsia="仿宋_GB2312" w:cs="仿宋_GB2312"/>
                <w:color w:val="auto"/>
                <w:spacing w:val="-9"/>
                <w:sz w:val="18"/>
                <w:szCs w:val="18"/>
                <w:lang w:eastAsia="en-US"/>
              </w:rPr>
              <w:t>每个</w:t>
            </w:r>
            <w:r>
              <w:rPr>
                <w:rFonts w:hint="eastAsia" w:ascii="仿宋_GB2312" w:hAnsi="仿宋_GB2312" w:eastAsia="仿宋_GB2312" w:cs="仿宋_GB2312"/>
                <w:color w:val="auto"/>
                <w:spacing w:val="-6"/>
                <w:sz w:val="18"/>
                <w:szCs w:val="18"/>
                <w:lang w:eastAsia="en-US"/>
              </w:rPr>
              <w:t>模块至</w:t>
            </w:r>
            <w:r>
              <w:rPr>
                <w:rFonts w:hint="eastAsia" w:ascii="仿宋_GB2312" w:hAnsi="仿宋_GB2312" w:eastAsia="仿宋_GB2312" w:cs="仿宋_GB2312"/>
                <w:color w:val="auto"/>
                <w:spacing w:val="-4"/>
                <w:sz w:val="18"/>
                <w:szCs w:val="18"/>
                <w:lang w:eastAsia="en-US"/>
              </w:rPr>
              <w:t xml:space="preserve">少选 </w:t>
            </w:r>
            <w:r>
              <w:rPr>
                <w:rFonts w:hint="eastAsia" w:ascii="仿宋_GB2312" w:hAnsi="仿宋_GB2312" w:eastAsia="仿宋_GB2312" w:cs="仿宋_GB2312"/>
                <w:color w:val="auto"/>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p>
          <w:p>
            <w:pPr>
              <w:pStyle w:val="7"/>
              <w:widowControl/>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模块一</w:t>
            </w:r>
          </w:p>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模块二</w:t>
            </w:r>
          </w:p>
          <w:p>
            <w:pPr>
              <w:pStyle w:val="7"/>
              <w:widowControl/>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color w:val="auto"/>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color w:val="auto"/>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color w:val="auto"/>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color w:val="auto"/>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color w:val="auto"/>
                <w:sz w:val="18"/>
                <w:szCs w:val="18"/>
                <w:lang w:eastAsia="en-US"/>
              </w:rPr>
            </w:pPr>
          </w:p>
          <w:p>
            <w:pPr>
              <w:pStyle w:val="7"/>
              <w:widowControl/>
              <w:jc w:val="center"/>
              <w:rPr>
                <w:rFonts w:hint="eastAsia" w:ascii="仿宋_GB2312" w:hAnsi="仿宋_GB2312" w:eastAsia="仿宋_GB2312" w:cs="仿宋_GB2312"/>
                <w:color w:val="auto"/>
                <w:sz w:val="18"/>
                <w:szCs w:val="18"/>
                <w:lang w:eastAsia="en-US"/>
              </w:rPr>
            </w:pPr>
          </w:p>
          <w:p>
            <w:pPr>
              <w:pStyle w:val="7"/>
              <w:widowControl/>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模块三</w:t>
            </w:r>
            <w:r>
              <w:rPr>
                <w:rFonts w:hint="eastAsia" w:ascii="仿宋_GB2312" w:hAnsi="仿宋_GB2312" w:eastAsia="仿宋_GB2312" w:cs="仿宋_GB2312"/>
                <w:color w:val="auto"/>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autoSpaceDE w:val="0"/>
              <w:autoSpaceDN w:val="0"/>
              <w:spacing w:before="0" w:beforeAutospacing="0" w:after="0" w:afterAutospacing="0"/>
              <w:ind w:left="0" w:right="0"/>
              <w:jc w:val="left"/>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autoSpaceDE w:val="0"/>
              <w:autoSpaceDN w:val="0"/>
              <w:spacing w:before="0" w:beforeAutospacing="0" w:after="0" w:afterAutospacing="0"/>
              <w:ind w:left="0" w:right="0"/>
              <w:jc w:val="left"/>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autoSpaceDE w:val="0"/>
              <w:autoSpaceDN w:val="0"/>
              <w:spacing w:before="0" w:beforeAutospacing="0" w:after="0" w:afterAutospacing="0"/>
              <w:ind w:left="0" w:right="0"/>
              <w:jc w:val="left"/>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autoSpaceDE w:val="0"/>
              <w:autoSpaceDN w:val="0"/>
              <w:spacing w:before="0" w:beforeAutospacing="0" w:after="0" w:afterAutospacing="0"/>
              <w:ind w:left="0" w:right="0"/>
              <w:jc w:val="left"/>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color w:val="auto"/>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eastAsia="en-US"/>
              </w:rPr>
              <w:t>公共任</w:t>
            </w:r>
            <w:r>
              <w:rPr>
                <w:rFonts w:hint="eastAsia" w:ascii="仿宋_GB2312" w:hAnsi="仿宋_GB2312" w:eastAsia="仿宋_GB2312" w:cs="仿宋_GB2312"/>
                <w:color w:val="auto"/>
                <w:sz w:val="18"/>
                <w:szCs w:val="18"/>
                <w:lang w:val="en-US" w:eastAsia="zh-CN"/>
              </w:rPr>
              <w:t>意</w:t>
            </w:r>
            <w:r>
              <w:rPr>
                <w:rFonts w:hint="eastAsia" w:ascii="仿宋_GB2312" w:hAnsi="仿宋_GB2312" w:eastAsia="仿宋_GB2312" w:cs="仿宋_GB2312"/>
                <w:color w:val="auto"/>
                <w:sz w:val="18"/>
                <w:szCs w:val="18"/>
                <w:lang w:eastAsia="en-US"/>
              </w:rPr>
              <w:t>选</w:t>
            </w:r>
            <w:r>
              <w:rPr>
                <w:rFonts w:hint="eastAsia" w:ascii="仿宋_GB2312" w:hAnsi="仿宋_GB2312" w:eastAsia="仿宋_GB2312" w:cs="仿宋_GB2312"/>
                <w:color w:val="auto"/>
                <w:sz w:val="18"/>
                <w:szCs w:val="18"/>
                <w:lang w:val="en-US" w:eastAsia="zh-CN"/>
              </w:rPr>
              <w:t>修</w:t>
            </w:r>
            <w:r>
              <w:rPr>
                <w:rFonts w:hint="eastAsia" w:ascii="仿宋_GB2312" w:hAnsi="仿宋_GB2312" w:eastAsia="仿宋_GB2312" w:cs="仿宋_GB2312"/>
                <w:color w:val="auto"/>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color w:val="auto"/>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color w:val="auto"/>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color w:val="auto"/>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color w:val="auto"/>
                <w:sz w:val="18"/>
                <w:szCs w:val="18"/>
                <w:lang w:eastAsia="en-US"/>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eastAsia" w:ascii="仿宋_GB2312" w:hAnsi="仿宋_GB2312" w:eastAsia="仿宋_GB2312" w:cs="仿宋_GB2312"/>
                <w:color w:val="auto"/>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color w:val="auto"/>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w:t>
      </w:r>
      <w:r>
        <w:rPr>
          <w:rFonts w:hint="eastAsia" w:ascii="楷体" w:eastAsia="楷体"/>
          <w:b/>
          <w:bCs/>
          <w:color w:val="auto"/>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color w:val="auto"/>
          <w:sz w:val="28"/>
          <w:szCs w:val="28"/>
          <w:lang w:val="en-US" w:eastAsia="zh-CN"/>
        </w:rPr>
        <w:t>机电工程、车辆工程、汽车服务工程、电气及其自动化</w:t>
      </w:r>
      <w:r>
        <w:rPr>
          <w:rFonts w:hint="eastAsia" w:ascii="仿宋_GB2312" w:hAnsi="仿宋_GB2312" w:eastAsia="仿宋_GB2312" w:cs="仿宋_GB2312"/>
          <w:color w:val="auto"/>
          <w:sz w:val="28"/>
          <w:szCs w:val="28"/>
          <w:lang w:val="en-US"/>
        </w:rPr>
        <w:t>等；专任教师积极参加企业实践，有较强的</w:t>
      </w:r>
      <w:r>
        <w:rPr>
          <w:rFonts w:hint="eastAsia" w:ascii="仿宋_GB2312" w:hAnsi="仿宋_GB2312" w:eastAsia="仿宋_GB2312" w:cs="仿宋_GB2312"/>
          <w:color w:val="auto"/>
          <w:sz w:val="28"/>
          <w:szCs w:val="28"/>
          <w:lang w:val="en-US" w:eastAsia="zh-CN"/>
        </w:rPr>
        <w:t>专业</w:t>
      </w:r>
      <w:r>
        <w:rPr>
          <w:rFonts w:hint="eastAsia" w:ascii="仿宋_GB2312" w:hAnsi="仿宋_GB2312" w:eastAsia="仿宋_GB2312" w:cs="仿宋_GB2312"/>
          <w:color w:val="auto"/>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    </w:t>
      </w:r>
      <w:r>
        <w:rPr>
          <w:rFonts w:hint="eastAsia" w:ascii="楷体" w:eastAsia="楷体"/>
          <w:b/>
          <w:bCs/>
          <w:color w:val="auto"/>
          <w:sz w:val="28"/>
          <w:szCs w:val="28"/>
          <w:lang w:val="en-US" w:eastAsia="zh-CN"/>
        </w:rPr>
        <w:t>（二）教学设施</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有足够的多媒体教室用于教学，校园网络能够保证教学的需要。校内实验实训室有</w:t>
      </w:r>
      <w:r>
        <w:rPr>
          <w:rFonts w:hint="eastAsia" w:ascii="仿宋_GB2312" w:hAnsi="仿宋_GB2312" w:eastAsia="仿宋_GB2312" w:cs="仿宋_GB2312"/>
          <w:color w:val="auto"/>
          <w:sz w:val="28"/>
          <w:szCs w:val="28"/>
          <w:lang w:val="en-US" w:eastAsia="zh-CN"/>
        </w:rPr>
        <w:t>汽车维修实训室、电工电子实训室、汽车检测实训室、汽车美容实训室等综合实训室</w:t>
      </w:r>
      <w:r>
        <w:rPr>
          <w:rFonts w:hint="eastAsia" w:ascii="仿宋_GB2312" w:hAnsi="仿宋_GB2312" w:eastAsia="仿宋_GB2312" w:cs="仿宋_GB2312"/>
          <w:color w:val="auto"/>
          <w:sz w:val="28"/>
          <w:szCs w:val="28"/>
          <w:lang w:val="en-US"/>
        </w:rPr>
        <w:t>等。</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校外实训基地能够开展</w:t>
      </w:r>
      <w:r>
        <w:rPr>
          <w:rFonts w:hint="eastAsia" w:ascii="仿宋_GB2312" w:hAnsi="仿宋_GB2312" w:eastAsia="仿宋_GB2312" w:cs="仿宋_GB2312"/>
          <w:color w:val="auto"/>
          <w:sz w:val="28"/>
          <w:szCs w:val="28"/>
          <w:lang w:val="en-US" w:eastAsia="zh-CN"/>
        </w:rPr>
        <w:t>汽车维修、新能源动力电池检测、汽车生产制造、汽车销售和技术支持、汽车零部件加工制造</w:t>
      </w:r>
      <w:r>
        <w:rPr>
          <w:rFonts w:hint="eastAsia" w:ascii="仿宋_GB2312" w:hAnsi="仿宋_GB2312" w:eastAsia="仿宋_GB2312" w:cs="仿宋_GB2312"/>
          <w:color w:val="auto"/>
          <w:sz w:val="28"/>
          <w:szCs w:val="28"/>
          <w:lang w:val="en-US"/>
        </w:rPr>
        <w:t>等实训活动，实训设施齐备，实训管理及实施规章制度齐全。能涵盖当前</w:t>
      </w:r>
      <w:r>
        <w:rPr>
          <w:rFonts w:hint="eastAsia" w:ascii="仿宋_GB2312" w:hAnsi="仿宋_GB2312" w:eastAsia="仿宋_GB2312" w:cs="仿宋_GB2312"/>
          <w:color w:val="auto"/>
          <w:sz w:val="28"/>
          <w:szCs w:val="28"/>
          <w:lang w:val="en-US" w:eastAsia="zh-CN"/>
        </w:rPr>
        <w:t>汽车</w:t>
      </w:r>
      <w:r>
        <w:rPr>
          <w:rFonts w:hint="eastAsia" w:ascii="仿宋_GB2312" w:hAnsi="仿宋_GB2312" w:eastAsia="仿宋_GB2312" w:cs="仿宋_GB2312"/>
          <w:color w:val="auto"/>
          <w:sz w:val="28"/>
          <w:szCs w:val="28"/>
          <w:lang w:val="en-US"/>
        </w:rPr>
        <w:t>产业发展的主流技术，可接纳一定规模的学生实习；能够配备相应数量的指导教师对学生实习进行指导和管理；有保证实习生日常工作、学习、生活的规章制度，有安全保障。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    </w:t>
      </w:r>
      <w:r>
        <w:rPr>
          <w:rFonts w:hint="eastAsia" w:ascii="楷体" w:eastAsia="楷体"/>
          <w:b/>
          <w:bCs/>
          <w:color w:val="auto"/>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    </w:t>
      </w:r>
      <w:r>
        <w:rPr>
          <w:rFonts w:hint="eastAsia" w:ascii="楷体" w:eastAsia="楷体"/>
          <w:b/>
          <w:bCs/>
          <w:color w:val="auto"/>
          <w:sz w:val="28"/>
          <w:szCs w:val="28"/>
          <w:lang w:val="en-US" w:eastAsia="zh-CN"/>
        </w:rPr>
        <w:t>（四）教学方法</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 xml:space="preserve">2．实施“六步全真”教学法  </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 xml:space="preserve"> 3．实行“双导师”授课制</w:t>
      </w:r>
    </w:p>
    <w:p>
      <w:pPr>
        <w:spacing w:line="560" w:lineRule="exact"/>
        <w:ind w:firstLine="64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    </w:t>
      </w:r>
      <w:r>
        <w:rPr>
          <w:rFonts w:hint="eastAsia" w:ascii="楷体" w:eastAsia="楷体"/>
          <w:b/>
          <w:bCs/>
          <w:color w:val="auto"/>
          <w:sz w:val="28"/>
          <w:szCs w:val="28"/>
          <w:lang w:val="en-US" w:eastAsia="zh-CN"/>
        </w:rPr>
        <w:t>（五）学习评价</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1．评价的模式 </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终结性评价与过程性评价相结合；个体评价与小组评价相结合；理论学习评价与实践技能评价相结合，素质评价-知识评价-能力（技能）评价并重。</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2．评价的方式 </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    </w:t>
      </w:r>
      <w:r>
        <w:rPr>
          <w:rFonts w:hint="eastAsia" w:ascii="楷体" w:eastAsia="楷体"/>
          <w:b/>
          <w:bCs/>
          <w:color w:val="auto"/>
          <w:sz w:val="28"/>
          <w:szCs w:val="28"/>
          <w:lang w:val="en-US" w:eastAsia="zh-CN"/>
        </w:rPr>
        <w:t>（六）质量管理</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auto"/>
          <w:kern w:val="0"/>
          <w:sz w:val="24"/>
          <w:szCs w:val="24"/>
          <w:lang w:val="en-US" w:eastAsia="zh-CN" w:bidi="ar"/>
        </w:rPr>
      </w:pPr>
      <w:r>
        <w:rPr>
          <w:rFonts w:hint="eastAsia" w:ascii="仿宋_GB2312" w:hAnsi="仿宋_GB2312" w:eastAsia="仿宋_GB2312" w:cs="仿宋_GB2312"/>
          <w:color w:val="auto"/>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auto"/>
          <w:kern w:val="0"/>
          <w:sz w:val="24"/>
          <w:szCs w:val="24"/>
          <w:lang w:val="en-US" w:eastAsia="zh-CN" w:bidi="ar"/>
        </w:rPr>
      </w:pPr>
      <w:bookmarkStart w:id="4" w:name="_GoBack"/>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C99A"/>
    <w:multiLevelType w:val="singleLevel"/>
    <w:tmpl w:val="E1ACC99A"/>
    <w:lvl w:ilvl="0" w:tentative="0">
      <w:start w:val="1"/>
      <w:numFmt w:val="decimal"/>
      <w:lvlText w:val="%1."/>
      <w:lvlJc w:val="left"/>
      <w:pPr>
        <w:tabs>
          <w:tab w:val="left" w:pos="312"/>
        </w:tabs>
      </w:pPr>
    </w:lvl>
  </w:abstractNum>
  <w:abstractNum w:abstractNumId="1">
    <w:nsid w:val="43D6F1F2"/>
    <w:multiLevelType w:val="singleLevel"/>
    <w:tmpl w:val="43D6F1F2"/>
    <w:lvl w:ilvl="0" w:tentative="0">
      <w:start w:val="1"/>
      <w:numFmt w:val="decimal"/>
      <w:lvlText w:val="%1."/>
      <w:lvlJc w:val="left"/>
      <w:pPr>
        <w:tabs>
          <w:tab w:val="left" w:pos="312"/>
        </w:tabs>
      </w:pPr>
    </w:lvl>
  </w:abstractNum>
  <w:abstractNum w:abstractNumId="2">
    <w:nsid w:val="491388D3"/>
    <w:multiLevelType w:val="singleLevel"/>
    <w:tmpl w:val="491388D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jAzZWJiY2IxZWQ4ODI3ZDVkMjNiNjE0OTNiNjgifQ=="/>
  </w:docVars>
  <w:rsids>
    <w:rsidRoot w:val="00000000"/>
    <w:rsid w:val="16F1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2023-05-18T09:03:41Z</dcterms:created>
  <dc:creator>Administrator</dc:creator>
  <cp:lastModifiedBy>俗世浮华</cp:lastModifiedBy>
  <dcterms:modified xsi:type="dcterms:W3CDTF">2023-05-18T09:05:02Z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66EE9F0A86DC4EC9BA77524755EA134A</vt:lpwstr>
  </property>
</Properties>
</file>